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0" w:type="dxa"/>
        <w:tblCellSpacing w:w="0" w:type="dxa"/>
        <w:tblCellMar>
          <w:left w:w="0" w:type="dxa"/>
          <w:right w:w="0" w:type="dxa"/>
        </w:tblCellMar>
        <w:tblLook w:val="04A0" w:firstRow="1" w:lastRow="0" w:firstColumn="1" w:lastColumn="0" w:noHBand="0" w:noVBand="1"/>
      </w:tblPr>
      <w:tblGrid>
        <w:gridCol w:w="9603"/>
      </w:tblGrid>
      <w:tr w:rsidR="005C0C0D" w:rsidRPr="005C0C0D" w:rsidTr="005C0C0D">
        <w:trPr>
          <w:tblCellSpacing w:w="0" w:type="dxa"/>
        </w:trPr>
        <w:tc>
          <w:tcPr>
            <w:tcW w:w="9600" w:type="dxa"/>
            <w:vAlign w:val="center"/>
            <w:hideMark/>
          </w:tcPr>
          <w:tbl>
            <w:tblPr>
              <w:tblW w:w="9600" w:type="dxa"/>
              <w:tblCellSpacing w:w="0" w:type="dxa"/>
              <w:tblCellMar>
                <w:left w:w="0" w:type="dxa"/>
                <w:right w:w="0" w:type="dxa"/>
              </w:tblCellMar>
              <w:tblLook w:val="04A0" w:firstRow="1" w:lastRow="0" w:firstColumn="1" w:lastColumn="0" w:noHBand="0" w:noVBand="1"/>
            </w:tblPr>
            <w:tblGrid>
              <w:gridCol w:w="225"/>
              <w:gridCol w:w="4500"/>
              <w:gridCol w:w="150"/>
              <w:gridCol w:w="4500"/>
              <w:gridCol w:w="225"/>
            </w:tblGrid>
            <w:tr w:rsidR="005C0C0D" w:rsidRPr="005C0C0D">
              <w:trPr>
                <w:trHeight w:val="225"/>
                <w:tblCellSpacing w:w="0" w:type="dxa"/>
              </w:trPr>
              <w:tc>
                <w:tcPr>
                  <w:tcW w:w="225" w:type="dxa"/>
                  <w:shd w:val="clear" w:color="auto" w:fill="auto"/>
                  <w:vAlign w:val="center"/>
                  <w:hideMark/>
                </w:tcPr>
                <w:p w:rsidR="005C0C0D" w:rsidRPr="005C0C0D" w:rsidRDefault="005C0C0D" w:rsidP="005C0C0D">
                  <w:pPr>
                    <w:rPr>
                      <w:rFonts w:eastAsia="Times New Roman"/>
                    </w:rPr>
                  </w:pPr>
                </w:p>
              </w:tc>
              <w:tc>
                <w:tcPr>
                  <w:tcW w:w="4500" w:type="dxa"/>
                  <w:shd w:val="clear" w:color="auto" w:fill="auto"/>
                  <w:vAlign w:val="center"/>
                  <w:hideMark/>
                </w:tcPr>
                <w:tbl>
                  <w:tblPr>
                    <w:tblW w:w="0" w:type="auto"/>
                    <w:tblCellSpacing w:w="0" w:type="dxa"/>
                    <w:tblCellMar>
                      <w:left w:w="0" w:type="dxa"/>
                      <w:right w:w="0" w:type="dxa"/>
                    </w:tblCellMar>
                    <w:tblLook w:val="04A0" w:firstRow="1" w:lastRow="0" w:firstColumn="1" w:lastColumn="0" w:noHBand="0" w:noVBand="1"/>
                  </w:tblPr>
                  <w:tblGrid>
                    <w:gridCol w:w="4500"/>
                  </w:tblGrid>
                  <w:tr w:rsidR="005C0C0D" w:rsidRPr="005C0C0D">
                    <w:trPr>
                      <w:trHeight w:val="225"/>
                      <w:tblCellSpacing w:w="0" w:type="dxa"/>
                    </w:trPr>
                    <w:tc>
                      <w:tcPr>
                        <w:tcW w:w="4500" w:type="dxa"/>
                        <w:vAlign w:val="center"/>
                        <w:hideMark/>
                      </w:tcPr>
                      <w:p w:rsidR="005C0C0D" w:rsidRPr="005C0C0D" w:rsidRDefault="005C0C0D" w:rsidP="005C0C0D">
                        <w:pPr>
                          <w:textAlignment w:val="baseline"/>
                          <w:rPr>
                            <w:rFonts w:ascii="Arial" w:eastAsia="Times New Roman" w:hAnsi="Arial" w:cs="Arial"/>
                            <w:color w:val="00407D"/>
                            <w:sz w:val="18"/>
                            <w:szCs w:val="18"/>
                          </w:rPr>
                        </w:pPr>
                        <w:hyperlink r:id="rId5" w:history="1">
                          <w:r w:rsidRPr="005C0C0D">
                            <w:rPr>
                              <w:rFonts w:ascii="Arial" w:eastAsia="Times New Roman" w:hAnsi="Arial" w:cs="Arial"/>
                              <w:color w:val="00407D"/>
                              <w:sz w:val="18"/>
                              <w:szCs w:val="18"/>
                              <w:u w:val="single"/>
                            </w:rPr>
                            <w:t>View the web version</w:t>
                          </w:r>
                        </w:hyperlink>
                      </w:p>
                    </w:tc>
                  </w:tr>
                </w:tbl>
                <w:p w:rsidR="005C0C0D" w:rsidRPr="005C0C0D" w:rsidRDefault="005C0C0D" w:rsidP="005C0C0D">
                  <w:pPr>
                    <w:rPr>
                      <w:rFonts w:ascii="Arial" w:eastAsia="Times New Roman" w:hAnsi="Arial" w:cs="Arial"/>
                      <w:color w:val="333333"/>
                      <w:sz w:val="18"/>
                      <w:szCs w:val="18"/>
                    </w:rPr>
                  </w:pPr>
                </w:p>
              </w:tc>
              <w:tc>
                <w:tcPr>
                  <w:tcW w:w="150" w:type="dxa"/>
                  <w:shd w:val="clear" w:color="auto" w:fill="auto"/>
                  <w:vAlign w:val="center"/>
                  <w:hideMark/>
                </w:tcPr>
                <w:p w:rsidR="005C0C0D" w:rsidRPr="005C0C0D" w:rsidRDefault="005C0C0D" w:rsidP="005C0C0D">
                  <w:pPr>
                    <w:rPr>
                      <w:rFonts w:eastAsia="Times New Roman"/>
                      <w:sz w:val="20"/>
                      <w:szCs w:val="20"/>
                    </w:rPr>
                  </w:pPr>
                </w:p>
              </w:tc>
              <w:tc>
                <w:tcPr>
                  <w:tcW w:w="4500" w:type="dxa"/>
                  <w:shd w:val="clear" w:color="auto" w:fill="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4500"/>
                  </w:tblGrid>
                  <w:tr w:rsidR="005C0C0D" w:rsidRPr="005C0C0D">
                    <w:trPr>
                      <w:trHeight w:val="225"/>
                      <w:tblCellSpacing w:w="0" w:type="dxa"/>
                      <w:jc w:val="right"/>
                    </w:trPr>
                    <w:tc>
                      <w:tcPr>
                        <w:tcW w:w="4500" w:type="dxa"/>
                        <w:vAlign w:val="center"/>
                        <w:hideMark/>
                      </w:tcPr>
                      <w:p w:rsidR="005C0C0D" w:rsidRPr="005C0C0D" w:rsidRDefault="005C0C0D" w:rsidP="005C0C0D">
                        <w:pPr>
                          <w:jc w:val="right"/>
                          <w:textAlignment w:val="baseline"/>
                          <w:rPr>
                            <w:rFonts w:ascii="Arial" w:eastAsia="Times New Roman" w:hAnsi="Arial" w:cs="Arial"/>
                            <w:sz w:val="18"/>
                            <w:szCs w:val="18"/>
                          </w:rPr>
                        </w:pPr>
                        <w:hyperlink r:id="rId6" w:history="1">
                          <w:r w:rsidRPr="005C0C0D">
                            <w:rPr>
                              <w:rFonts w:ascii="Arial" w:eastAsia="Times New Roman" w:hAnsi="Arial" w:cs="Arial"/>
                              <w:color w:val="0000FF"/>
                              <w:sz w:val="18"/>
                              <w:szCs w:val="18"/>
                              <w:u w:val="single"/>
                              <w:bdr w:val="none" w:sz="0" w:space="0" w:color="auto" w:frame="1"/>
                            </w:rPr>
                            <w:t>Go to ECLKC</w:t>
                          </w:r>
                        </w:hyperlink>
                      </w:p>
                    </w:tc>
                  </w:tr>
                </w:tbl>
                <w:p w:rsidR="005C0C0D" w:rsidRPr="005C0C0D" w:rsidRDefault="005C0C0D" w:rsidP="005C0C0D">
                  <w:pPr>
                    <w:jc w:val="right"/>
                    <w:rPr>
                      <w:rFonts w:ascii="Arial" w:eastAsia="Times New Roman" w:hAnsi="Arial" w:cs="Arial"/>
                      <w:color w:val="333333"/>
                      <w:sz w:val="18"/>
                      <w:szCs w:val="18"/>
                    </w:rPr>
                  </w:pPr>
                </w:p>
              </w:tc>
              <w:tc>
                <w:tcPr>
                  <w:tcW w:w="225" w:type="dxa"/>
                  <w:shd w:val="clear" w:color="auto" w:fill="auto"/>
                  <w:vAlign w:val="center"/>
                  <w:hideMark/>
                </w:tcPr>
                <w:p w:rsidR="005C0C0D" w:rsidRPr="005C0C0D" w:rsidRDefault="005C0C0D" w:rsidP="005C0C0D">
                  <w:pPr>
                    <w:jc w:val="right"/>
                    <w:rPr>
                      <w:rFonts w:eastAsia="Times New Roman"/>
                      <w:sz w:val="20"/>
                      <w:szCs w:val="20"/>
                    </w:rPr>
                  </w:pPr>
                </w:p>
              </w:tc>
            </w:tr>
          </w:tbl>
          <w:p w:rsidR="005C0C0D" w:rsidRPr="005C0C0D" w:rsidRDefault="005C0C0D" w:rsidP="005C0C0D">
            <w:pPr>
              <w:rPr>
                <w:rFonts w:ascii="Arial" w:eastAsia="Times New Roman" w:hAnsi="Arial" w:cs="Arial"/>
                <w:color w:val="000000"/>
                <w:sz w:val="18"/>
                <w:szCs w:val="18"/>
              </w:rPr>
            </w:pPr>
          </w:p>
        </w:tc>
      </w:tr>
      <w:tr w:rsidR="005C0C0D" w:rsidRPr="005C0C0D" w:rsidTr="005C0C0D">
        <w:trPr>
          <w:trHeight w:val="1305"/>
          <w:tblCellSpacing w:w="0" w:type="dxa"/>
        </w:trPr>
        <w:tc>
          <w:tcPr>
            <w:tcW w:w="9600" w:type="dxa"/>
            <w:tcBorders>
              <w:top w:val="nil"/>
              <w:left w:val="nil"/>
              <w:bottom w:val="nil"/>
              <w:right w:val="nil"/>
            </w:tcBorders>
            <w:shd w:val="clear" w:color="auto" w:fill="FFFFFF"/>
            <w:hideMark/>
          </w:tcPr>
          <w:p w:rsidR="005C0C0D" w:rsidRPr="005C0C0D" w:rsidRDefault="005C0C0D" w:rsidP="005C0C0D">
            <w:pPr>
              <w:textAlignment w:val="baseline"/>
              <w:rPr>
                <w:rFonts w:ascii="Arial" w:eastAsia="Times New Roman" w:hAnsi="Arial" w:cs="Arial"/>
                <w:color w:val="000000"/>
                <w:sz w:val="18"/>
                <w:szCs w:val="18"/>
              </w:rPr>
            </w:pPr>
            <w:r w:rsidRPr="005C0C0D">
              <w:rPr>
                <w:rFonts w:ascii="Arial" w:eastAsia="Times New Roman" w:hAnsi="Arial" w:cs="Arial"/>
                <w:noProof/>
                <w:color w:val="0000FF"/>
                <w:sz w:val="18"/>
                <w:szCs w:val="18"/>
                <w:bdr w:val="none" w:sz="0" w:space="0" w:color="auto" w:frame="1"/>
              </w:rPr>
              <w:drawing>
                <wp:inline distT="0" distB="0" distL="0" distR="0">
                  <wp:extent cx="6097905" cy="826770"/>
                  <wp:effectExtent l="0" t="0" r="0" b="0"/>
                  <wp:docPr id="1" name="Picture 1" descr="A Policy Document from the Office of Head St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olicy Document from the Office of Head Star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7905" cy="826770"/>
                          </a:xfrm>
                          <a:prstGeom prst="rect">
                            <a:avLst/>
                          </a:prstGeom>
                          <a:noFill/>
                          <a:ln>
                            <a:noFill/>
                          </a:ln>
                        </pic:spPr>
                      </pic:pic>
                    </a:graphicData>
                  </a:graphic>
                </wp:inline>
              </w:drawing>
            </w:r>
          </w:p>
        </w:tc>
      </w:tr>
      <w:tr w:rsidR="005C0C0D" w:rsidRPr="005C0C0D" w:rsidTr="005C0C0D">
        <w:trPr>
          <w:tblCellSpacing w:w="0" w:type="dxa"/>
        </w:trPr>
        <w:tc>
          <w:tcPr>
            <w:tcW w:w="9600" w:type="dxa"/>
            <w:shd w:val="clear" w:color="auto" w:fill="FFFFFF"/>
            <w:vAlign w:val="center"/>
            <w:hideMark/>
          </w:tcPr>
          <w:tbl>
            <w:tblPr>
              <w:tblW w:w="9600" w:type="dxa"/>
              <w:tblCellSpacing w:w="0" w:type="dxa"/>
              <w:tblCellMar>
                <w:left w:w="0" w:type="dxa"/>
                <w:right w:w="0" w:type="dxa"/>
              </w:tblCellMar>
              <w:tblLook w:val="04A0" w:firstRow="1" w:lastRow="0" w:firstColumn="1" w:lastColumn="0" w:noHBand="0" w:noVBand="1"/>
            </w:tblPr>
            <w:tblGrid>
              <w:gridCol w:w="230"/>
              <w:gridCol w:w="9370"/>
            </w:tblGrid>
            <w:tr w:rsidR="005C0C0D" w:rsidRPr="005C0C0D">
              <w:trPr>
                <w:tblCellSpacing w:w="0" w:type="dxa"/>
              </w:trPr>
              <w:tc>
                <w:tcPr>
                  <w:tcW w:w="225" w:type="dxa"/>
                  <w:vAlign w:val="center"/>
                  <w:hideMark/>
                </w:tcPr>
                <w:p w:rsidR="005C0C0D" w:rsidRPr="005C0C0D" w:rsidRDefault="005C0C0D" w:rsidP="005C0C0D">
                  <w:pPr>
                    <w:textAlignment w:val="baseline"/>
                    <w:rPr>
                      <w:rFonts w:ascii="Arial" w:eastAsia="Times New Roman" w:hAnsi="Arial" w:cs="Arial"/>
                      <w:color w:val="000000"/>
                      <w:sz w:val="18"/>
                      <w:szCs w:val="18"/>
                    </w:rPr>
                  </w:pPr>
                </w:p>
              </w:tc>
              <w:tc>
                <w:tcPr>
                  <w:tcW w:w="9150" w:type="dxa"/>
                  <w:vAlign w:val="center"/>
                  <w:hideMark/>
                </w:tcPr>
                <w:tbl>
                  <w:tblPr>
                    <w:tblW w:w="9150" w:type="dxa"/>
                    <w:tblCellSpacing w:w="0" w:type="dxa"/>
                    <w:tblCellMar>
                      <w:left w:w="0" w:type="dxa"/>
                      <w:right w:w="0" w:type="dxa"/>
                    </w:tblCellMar>
                    <w:tblLook w:val="04A0" w:firstRow="1" w:lastRow="0" w:firstColumn="1" w:lastColumn="0" w:noHBand="0" w:noVBand="1"/>
                  </w:tblPr>
                  <w:tblGrid>
                    <w:gridCol w:w="9150"/>
                  </w:tblGrid>
                  <w:tr w:rsidR="005C0C0D" w:rsidRPr="005C0C0D">
                    <w:trPr>
                      <w:trHeight w:val="150"/>
                      <w:tblCellSpacing w:w="0" w:type="dxa"/>
                    </w:trPr>
                    <w:tc>
                      <w:tcPr>
                        <w:tcW w:w="9150" w:type="dxa"/>
                        <w:shd w:val="clear" w:color="auto" w:fill="FFFFFF"/>
                        <w:vAlign w:val="center"/>
                        <w:hideMark/>
                      </w:tcPr>
                      <w:p w:rsidR="005C0C0D" w:rsidRPr="005C0C0D" w:rsidRDefault="005C0C0D" w:rsidP="005C0C0D">
                        <w:pPr>
                          <w:rPr>
                            <w:rFonts w:eastAsia="Times New Roman"/>
                          </w:rPr>
                        </w:pPr>
                        <w:r w:rsidRPr="005C0C0D">
                          <w:rPr>
                            <w:rFonts w:eastAsia="Times New Roman"/>
                          </w:rPr>
                          <w:t> </w:t>
                        </w:r>
                      </w:p>
                    </w:tc>
                  </w:tr>
                  <w:tr w:rsidR="005C0C0D" w:rsidRPr="005C0C0D">
                    <w:trPr>
                      <w:tblCellSpacing w:w="0" w:type="dxa"/>
                    </w:trPr>
                    <w:tc>
                      <w:tcPr>
                        <w:tcW w:w="9150" w:type="dxa"/>
                        <w:vAlign w:val="center"/>
                        <w:hideMark/>
                      </w:tcPr>
                      <w:tbl>
                        <w:tblPr>
                          <w:tblW w:w="9120" w:type="dxa"/>
                          <w:jc w:val="center"/>
                          <w:tblCellSpacing w:w="15" w:type="dxa"/>
                          <w:tblBorders>
                            <w:top w:val="outset" w:sz="6" w:space="0" w:color="333333"/>
                            <w:left w:val="outset" w:sz="6" w:space="0" w:color="333333"/>
                            <w:bottom w:val="outset" w:sz="6" w:space="0" w:color="333333"/>
                            <w:right w:val="outset" w:sz="6" w:space="0" w:color="333333"/>
                          </w:tblBorders>
                          <w:tblCellMar>
                            <w:left w:w="0" w:type="dxa"/>
                            <w:right w:w="0" w:type="dxa"/>
                          </w:tblCellMar>
                          <w:tblLook w:val="04A0" w:firstRow="1" w:lastRow="0" w:firstColumn="1" w:lastColumn="0" w:noHBand="0" w:noVBand="1"/>
                        </w:tblPr>
                        <w:tblGrid>
                          <w:gridCol w:w="2716"/>
                          <w:gridCol w:w="2886"/>
                          <w:gridCol w:w="3518"/>
                        </w:tblGrid>
                        <w:tr w:rsidR="005C0C0D" w:rsidRPr="005C0C0D">
                          <w:trPr>
                            <w:trHeight w:val="300"/>
                            <w:tblCellSpacing w:w="15" w:type="dxa"/>
                            <w:jc w:val="center"/>
                          </w:trPr>
                          <w:tc>
                            <w:tcPr>
                              <w:tcW w:w="2595" w:type="dxa"/>
                              <w:vMerge w:val="restart"/>
                              <w:tcBorders>
                                <w:top w:val="outset" w:sz="6" w:space="0" w:color="333333"/>
                                <w:left w:val="outset" w:sz="6" w:space="0" w:color="333333"/>
                                <w:bottom w:val="outset" w:sz="6" w:space="0" w:color="333333"/>
                                <w:right w:val="outset" w:sz="6" w:space="0" w:color="333333"/>
                              </w:tcBorders>
                              <w:tcMar>
                                <w:top w:w="0" w:type="dxa"/>
                                <w:left w:w="45" w:type="dxa"/>
                                <w:bottom w:w="0" w:type="dxa"/>
                                <w:right w:w="0" w:type="dxa"/>
                              </w:tcMar>
                              <w:vAlign w:val="center"/>
                              <w:hideMark/>
                            </w:tcPr>
                            <w:p w:rsidR="005C0C0D" w:rsidRPr="005C0C0D" w:rsidRDefault="005C0C0D" w:rsidP="005C0C0D">
                              <w:pPr>
                                <w:spacing w:line="240" w:lineRule="atLeast"/>
                                <w:jc w:val="center"/>
                                <w:rPr>
                                  <w:rFonts w:ascii="Arial" w:eastAsia="Times New Roman" w:hAnsi="Arial" w:cs="Arial"/>
                                  <w:sz w:val="18"/>
                                  <w:szCs w:val="18"/>
                                </w:rPr>
                              </w:pPr>
                              <w:r w:rsidRPr="005C0C0D">
                                <w:rPr>
                                  <w:rFonts w:ascii="Arial" w:eastAsia="Times New Roman" w:hAnsi="Arial" w:cs="Arial"/>
                                  <w:sz w:val="18"/>
                                  <w:szCs w:val="18"/>
                                </w:rPr>
                                <w:t>ACF</w:t>
                              </w:r>
                              <w:r w:rsidRPr="005C0C0D">
                                <w:rPr>
                                  <w:rFonts w:ascii="Arial" w:eastAsia="Times New Roman" w:hAnsi="Arial" w:cs="Arial"/>
                                  <w:sz w:val="18"/>
                                  <w:szCs w:val="18"/>
                                </w:rPr>
                                <w:br/>
                                <w:t>Administration for Children</w:t>
                              </w:r>
                              <w:r w:rsidRPr="005C0C0D">
                                <w:rPr>
                                  <w:rFonts w:ascii="Arial" w:eastAsia="Times New Roman" w:hAnsi="Arial" w:cs="Arial"/>
                                  <w:sz w:val="18"/>
                                  <w:szCs w:val="18"/>
                                </w:rPr>
                                <w:br/>
                                <w:t>and Families</w:t>
                              </w:r>
                            </w:p>
                          </w:tc>
                          <w:tc>
                            <w:tcPr>
                              <w:tcW w:w="0" w:type="auto"/>
                              <w:gridSpan w:val="2"/>
                              <w:tcBorders>
                                <w:top w:val="outset" w:sz="6" w:space="0" w:color="333333"/>
                                <w:left w:val="outset" w:sz="6" w:space="0" w:color="333333"/>
                                <w:bottom w:val="outset" w:sz="6" w:space="0" w:color="333333"/>
                                <w:right w:val="outset" w:sz="6" w:space="0" w:color="333333"/>
                              </w:tcBorders>
                              <w:tcMar>
                                <w:top w:w="0" w:type="dxa"/>
                                <w:left w:w="45" w:type="dxa"/>
                                <w:bottom w:w="0" w:type="dxa"/>
                                <w:right w:w="0" w:type="dxa"/>
                              </w:tcMar>
                              <w:vAlign w:val="center"/>
                              <w:hideMark/>
                            </w:tcPr>
                            <w:p w:rsidR="005C0C0D" w:rsidRPr="005C0C0D" w:rsidRDefault="005C0C0D" w:rsidP="005C0C0D">
                              <w:pPr>
                                <w:spacing w:line="240" w:lineRule="atLeast"/>
                                <w:jc w:val="center"/>
                                <w:rPr>
                                  <w:rFonts w:ascii="Arial" w:eastAsia="Times New Roman" w:hAnsi="Arial" w:cs="Arial"/>
                                  <w:sz w:val="18"/>
                                  <w:szCs w:val="18"/>
                                </w:rPr>
                              </w:pPr>
                              <w:r w:rsidRPr="005C0C0D">
                                <w:rPr>
                                  <w:rFonts w:ascii="Arial" w:eastAsia="Times New Roman" w:hAnsi="Arial" w:cs="Arial"/>
                                  <w:sz w:val="18"/>
                                  <w:szCs w:val="18"/>
                                </w:rPr>
                                <w:t>U.S. DEPARTMENT</w:t>
                              </w:r>
                              <w:r w:rsidRPr="005C0C0D">
                                <w:rPr>
                                  <w:rFonts w:ascii="Arial" w:eastAsia="Times New Roman" w:hAnsi="Arial" w:cs="Arial"/>
                                  <w:sz w:val="18"/>
                                  <w:szCs w:val="18"/>
                                </w:rPr>
                                <w:br/>
                                <w:t>OF HEALTH AND HUMAN SERVICES</w:t>
                              </w:r>
                            </w:p>
                          </w:tc>
                        </w:tr>
                        <w:tr w:rsidR="005C0C0D" w:rsidRPr="005C0C0D">
                          <w:trPr>
                            <w:trHeight w:val="150"/>
                            <w:tblCellSpacing w:w="15" w:type="dxa"/>
                            <w:jc w:val="center"/>
                          </w:trPr>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5C0C0D" w:rsidRPr="005C0C0D" w:rsidRDefault="005C0C0D" w:rsidP="005C0C0D">
                              <w:pPr>
                                <w:rPr>
                                  <w:rFonts w:ascii="Arial" w:eastAsia="Times New Roman" w:hAnsi="Arial" w:cs="Arial"/>
                                  <w:sz w:val="18"/>
                                  <w:szCs w:val="18"/>
                                </w:rPr>
                              </w:pPr>
                            </w:p>
                          </w:tc>
                          <w:tc>
                            <w:tcPr>
                              <w:tcW w:w="2775" w:type="dxa"/>
                              <w:tcBorders>
                                <w:top w:val="outset" w:sz="6" w:space="0" w:color="333333"/>
                                <w:left w:val="outset" w:sz="6" w:space="0" w:color="333333"/>
                                <w:bottom w:val="outset" w:sz="6" w:space="0" w:color="333333"/>
                                <w:right w:val="outset" w:sz="6" w:space="0" w:color="333333"/>
                              </w:tcBorders>
                              <w:tcMar>
                                <w:top w:w="0" w:type="dxa"/>
                                <w:left w:w="45" w:type="dxa"/>
                                <w:bottom w:w="0" w:type="dxa"/>
                                <w:right w:w="0" w:type="dxa"/>
                              </w:tcMar>
                              <w:vAlign w:val="center"/>
                              <w:hideMark/>
                            </w:tcPr>
                            <w:p w:rsidR="005C0C0D" w:rsidRPr="005C0C0D" w:rsidRDefault="005C0C0D" w:rsidP="005C0C0D">
                              <w:pPr>
                                <w:spacing w:line="240" w:lineRule="atLeast"/>
                                <w:rPr>
                                  <w:rFonts w:ascii="Arial" w:eastAsia="Times New Roman" w:hAnsi="Arial" w:cs="Arial"/>
                                  <w:sz w:val="18"/>
                                  <w:szCs w:val="18"/>
                                </w:rPr>
                              </w:pPr>
                              <w:r w:rsidRPr="005C0C0D">
                                <w:rPr>
                                  <w:rFonts w:ascii="Arial" w:eastAsia="Times New Roman" w:hAnsi="Arial" w:cs="Arial"/>
                                  <w:sz w:val="18"/>
                                  <w:szCs w:val="18"/>
                                </w:rPr>
                                <w:t>1. Log No. ACF-IM-HS-21-03</w:t>
                              </w:r>
                            </w:p>
                          </w:tc>
                          <w:tc>
                            <w:tcPr>
                              <w:tcW w:w="3375" w:type="dxa"/>
                              <w:tcBorders>
                                <w:top w:val="outset" w:sz="6" w:space="0" w:color="333333"/>
                                <w:left w:val="outset" w:sz="6" w:space="0" w:color="333333"/>
                                <w:bottom w:val="outset" w:sz="6" w:space="0" w:color="333333"/>
                                <w:right w:val="outset" w:sz="6" w:space="0" w:color="333333"/>
                              </w:tcBorders>
                              <w:tcMar>
                                <w:top w:w="0" w:type="dxa"/>
                                <w:left w:w="45" w:type="dxa"/>
                                <w:bottom w:w="0" w:type="dxa"/>
                                <w:right w:w="0" w:type="dxa"/>
                              </w:tcMar>
                              <w:vAlign w:val="center"/>
                              <w:hideMark/>
                            </w:tcPr>
                            <w:p w:rsidR="005C0C0D" w:rsidRPr="005C0C0D" w:rsidRDefault="005C0C0D" w:rsidP="005C0C0D">
                              <w:pPr>
                                <w:spacing w:line="240" w:lineRule="atLeast"/>
                                <w:rPr>
                                  <w:rFonts w:ascii="Arial" w:eastAsia="Times New Roman" w:hAnsi="Arial" w:cs="Arial"/>
                                  <w:sz w:val="18"/>
                                  <w:szCs w:val="18"/>
                                </w:rPr>
                              </w:pPr>
                              <w:r w:rsidRPr="005C0C0D">
                                <w:rPr>
                                  <w:rFonts w:ascii="Arial" w:eastAsia="Times New Roman" w:hAnsi="Arial" w:cs="Arial"/>
                                  <w:sz w:val="18"/>
                                  <w:szCs w:val="18"/>
                                </w:rPr>
                                <w:t>2. Issuance Date: 07/27/2021</w:t>
                              </w:r>
                            </w:p>
                          </w:tc>
                        </w:tr>
                        <w:tr w:rsidR="005C0C0D" w:rsidRPr="005C0C0D">
                          <w:trPr>
                            <w:trHeight w:val="150"/>
                            <w:tblCellSpacing w:w="15" w:type="dxa"/>
                            <w:jc w:val="center"/>
                          </w:trPr>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5C0C0D" w:rsidRPr="005C0C0D" w:rsidRDefault="005C0C0D" w:rsidP="005C0C0D">
                              <w:pPr>
                                <w:rPr>
                                  <w:rFonts w:ascii="Arial" w:eastAsia="Times New Roman" w:hAnsi="Arial" w:cs="Arial"/>
                                  <w:sz w:val="18"/>
                                  <w:szCs w:val="18"/>
                                </w:rPr>
                              </w:pPr>
                            </w:p>
                          </w:tc>
                          <w:tc>
                            <w:tcPr>
                              <w:tcW w:w="3075" w:type="dxa"/>
                              <w:gridSpan w:val="2"/>
                              <w:tcBorders>
                                <w:top w:val="outset" w:sz="6" w:space="0" w:color="333333"/>
                                <w:left w:val="outset" w:sz="6" w:space="0" w:color="333333"/>
                                <w:bottom w:val="outset" w:sz="6" w:space="0" w:color="333333"/>
                                <w:right w:val="outset" w:sz="6" w:space="0" w:color="333333"/>
                              </w:tcBorders>
                              <w:tcMar>
                                <w:top w:w="0" w:type="dxa"/>
                                <w:left w:w="45" w:type="dxa"/>
                                <w:bottom w:w="0" w:type="dxa"/>
                                <w:right w:w="0" w:type="dxa"/>
                              </w:tcMar>
                              <w:vAlign w:val="center"/>
                              <w:hideMark/>
                            </w:tcPr>
                            <w:p w:rsidR="005C0C0D" w:rsidRPr="005C0C0D" w:rsidRDefault="005C0C0D" w:rsidP="005C0C0D">
                              <w:pPr>
                                <w:spacing w:line="240" w:lineRule="atLeast"/>
                                <w:rPr>
                                  <w:rFonts w:ascii="Arial" w:eastAsia="Times New Roman" w:hAnsi="Arial" w:cs="Arial"/>
                                  <w:sz w:val="18"/>
                                  <w:szCs w:val="18"/>
                                </w:rPr>
                              </w:pPr>
                              <w:r w:rsidRPr="005C0C0D">
                                <w:rPr>
                                  <w:rFonts w:ascii="Arial" w:eastAsia="Times New Roman" w:hAnsi="Arial" w:cs="Arial"/>
                                  <w:sz w:val="18"/>
                                  <w:szCs w:val="18"/>
                                </w:rPr>
                                <w:t>3. Originating Office: Office of Head Start</w:t>
                              </w:r>
                            </w:p>
                          </w:tc>
                        </w:tr>
                        <w:tr w:rsidR="005C0C0D" w:rsidRPr="005C0C0D">
                          <w:trPr>
                            <w:trHeight w:val="150"/>
                            <w:tblCellSpacing w:w="15" w:type="dxa"/>
                            <w:jc w:val="center"/>
                          </w:trPr>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5C0C0D" w:rsidRPr="005C0C0D" w:rsidRDefault="005C0C0D" w:rsidP="005C0C0D">
                              <w:pPr>
                                <w:rPr>
                                  <w:rFonts w:ascii="Arial" w:eastAsia="Times New Roman" w:hAnsi="Arial" w:cs="Arial"/>
                                  <w:sz w:val="18"/>
                                  <w:szCs w:val="18"/>
                                </w:rPr>
                              </w:pPr>
                            </w:p>
                          </w:tc>
                          <w:tc>
                            <w:tcPr>
                              <w:tcW w:w="3075" w:type="dxa"/>
                              <w:gridSpan w:val="2"/>
                              <w:tcBorders>
                                <w:top w:val="outset" w:sz="6" w:space="0" w:color="333333"/>
                                <w:left w:val="outset" w:sz="6" w:space="0" w:color="333333"/>
                                <w:bottom w:val="outset" w:sz="6" w:space="0" w:color="333333"/>
                                <w:right w:val="outset" w:sz="6" w:space="0" w:color="333333"/>
                              </w:tcBorders>
                              <w:tcMar>
                                <w:top w:w="0" w:type="dxa"/>
                                <w:left w:w="45" w:type="dxa"/>
                                <w:bottom w:w="0" w:type="dxa"/>
                                <w:right w:w="0" w:type="dxa"/>
                              </w:tcMar>
                              <w:vAlign w:val="center"/>
                              <w:hideMark/>
                            </w:tcPr>
                            <w:p w:rsidR="005C0C0D" w:rsidRPr="005C0C0D" w:rsidRDefault="005C0C0D" w:rsidP="005C0C0D">
                              <w:pPr>
                                <w:spacing w:line="240" w:lineRule="atLeast"/>
                                <w:rPr>
                                  <w:rFonts w:ascii="Arial" w:eastAsia="Times New Roman" w:hAnsi="Arial" w:cs="Arial"/>
                                  <w:sz w:val="18"/>
                                  <w:szCs w:val="18"/>
                                </w:rPr>
                              </w:pPr>
                              <w:r w:rsidRPr="005C0C0D">
                                <w:rPr>
                                  <w:rFonts w:ascii="Arial" w:eastAsia="Times New Roman" w:hAnsi="Arial" w:cs="Arial"/>
                                  <w:sz w:val="18"/>
                                  <w:szCs w:val="18"/>
                                </w:rPr>
                                <w:t>4. Key Words: Monitoring; FY 2022; CLASS®</w:t>
                              </w:r>
                            </w:p>
                          </w:tc>
                        </w:tr>
                      </w:tbl>
                      <w:p w:rsidR="005C0C0D" w:rsidRPr="005C0C0D" w:rsidRDefault="005C0C0D" w:rsidP="005C0C0D">
                        <w:pPr>
                          <w:spacing w:before="100" w:beforeAutospacing="1" w:after="100" w:afterAutospacing="1" w:line="270" w:lineRule="atLeast"/>
                          <w:textAlignment w:val="baseline"/>
                          <w:rPr>
                            <w:rFonts w:ascii="Arial" w:eastAsia="Times New Roman" w:hAnsi="Arial" w:cs="Arial"/>
                            <w:color w:val="333333"/>
                            <w:sz w:val="18"/>
                            <w:szCs w:val="18"/>
                          </w:rPr>
                        </w:pPr>
                      </w:p>
                    </w:tc>
                  </w:tr>
                </w:tbl>
                <w:p w:rsidR="005C0C0D" w:rsidRPr="005C0C0D" w:rsidRDefault="005C0C0D" w:rsidP="005C0C0D">
                  <w:pPr>
                    <w:rPr>
                      <w:rFonts w:ascii="Arial" w:eastAsia="Times New Roman" w:hAnsi="Arial" w:cs="Arial"/>
                      <w:vanish/>
                      <w:sz w:val="18"/>
                      <w:szCs w:val="18"/>
                    </w:rPr>
                  </w:pPr>
                </w:p>
                <w:tbl>
                  <w:tblPr>
                    <w:tblW w:w="9150" w:type="dxa"/>
                    <w:tblCellSpacing w:w="0" w:type="dxa"/>
                    <w:tblCellMar>
                      <w:left w:w="0" w:type="dxa"/>
                      <w:right w:w="0" w:type="dxa"/>
                    </w:tblCellMar>
                    <w:tblLook w:val="04A0" w:firstRow="1" w:lastRow="0" w:firstColumn="1" w:lastColumn="0" w:noHBand="0" w:noVBand="1"/>
                  </w:tblPr>
                  <w:tblGrid>
                    <w:gridCol w:w="9150"/>
                  </w:tblGrid>
                  <w:tr w:rsidR="005C0C0D" w:rsidRPr="005C0C0D">
                    <w:trPr>
                      <w:trHeight w:val="60"/>
                      <w:tblCellSpacing w:w="0" w:type="dxa"/>
                    </w:trPr>
                    <w:tc>
                      <w:tcPr>
                        <w:tcW w:w="9150" w:type="dxa"/>
                        <w:vAlign w:val="center"/>
                        <w:hideMark/>
                      </w:tcPr>
                      <w:p w:rsidR="005C0C0D" w:rsidRPr="005C0C0D" w:rsidRDefault="005C0C0D" w:rsidP="005C0C0D">
                        <w:pPr>
                          <w:rPr>
                            <w:rFonts w:eastAsia="Times New Roman"/>
                          </w:rPr>
                        </w:pPr>
                        <w:r w:rsidRPr="005C0C0D">
                          <w:rPr>
                            <w:rFonts w:eastAsia="Times New Roman"/>
                          </w:rPr>
                          <w:t> </w:t>
                        </w:r>
                      </w:p>
                    </w:tc>
                  </w:tr>
                  <w:tr w:rsidR="005C0C0D" w:rsidRPr="005C0C0D">
                    <w:trPr>
                      <w:tblCellSpacing w:w="0" w:type="dxa"/>
                    </w:trPr>
                    <w:tc>
                      <w:tcPr>
                        <w:tcW w:w="9150" w:type="dxa"/>
                        <w:vAlign w:val="center"/>
                        <w:hideMark/>
                      </w:tcPr>
                      <w:p w:rsidR="005C0C0D" w:rsidRPr="005C0C0D" w:rsidRDefault="005C0C0D" w:rsidP="005C0C0D">
                        <w:pPr>
                          <w:spacing w:before="100" w:beforeAutospacing="1" w:after="100" w:afterAutospacing="1" w:line="270" w:lineRule="atLeast"/>
                          <w:textAlignment w:val="baseline"/>
                          <w:rPr>
                            <w:rFonts w:ascii="Arial" w:eastAsia="Times New Roman" w:hAnsi="Arial" w:cs="Arial"/>
                            <w:color w:val="333333"/>
                            <w:sz w:val="18"/>
                            <w:szCs w:val="18"/>
                          </w:rPr>
                        </w:pPr>
                        <w:r w:rsidRPr="005C0C0D">
                          <w:rPr>
                            <w:rFonts w:ascii="Arial" w:eastAsia="Times New Roman" w:hAnsi="Arial" w:cs="Arial"/>
                            <w:b/>
                            <w:bCs/>
                            <w:color w:val="333333"/>
                            <w:sz w:val="18"/>
                            <w:szCs w:val="18"/>
                          </w:rPr>
                          <w:t>INFORMATION MEMORANDUM</w:t>
                        </w:r>
                      </w:p>
                      <w:p w:rsidR="005C0C0D" w:rsidRPr="005C0C0D" w:rsidRDefault="005C0C0D" w:rsidP="005C0C0D">
                        <w:pPr>
                          <w:spacing w:before="100" w:beforeAutospacing="1" w:after="100" w:afterAutospacing="1" w:line="270" w:lineRule="atLeast"/>
                          <w:textAlignment w:val="baseline"/>
                          <w:rPr>
                            <w:rFonts w:ascii="Arial" w:eastAsia="Times New Roman" w:hAnsi="Arial" w:cs="Arial"/>
                            <w:color w:val="333333"/>
                            <w:sz w:val="18"/>
                            <w:szCs w:val="18"/>
                          </w:rPr>
                        </w:pPr>
                        <w:r w:rsidRPr="005C0C0D">
                          <w:rPr>
                            <w:rFonts w:ascii="Arial" w:eastAsia="Times New Roman" w:hAnsi="Arial" w:cs="Arial"/>
                            <w:b/>
                            <w:bCs/>
                            <w:color w:val="333333"/>
                            <w:sz w:val="18"/>
                            <w:szCs w:val="18"/>
                          </w:rPr>
                          <w:t>TO: </w:t>
                        </w:r>
                        <w:r w:rsidRPr="005C0C0D">
                          <w:rPr>
                            <w:rFonts w:ascii="Arial" w:eastAsia="Times New Roman" w:hAnsi="Arial" w:cs="Arial"/>
                            <w:color w:val="333333"/>
                            <w:sz w:val="18"/>
                            <w:szCs w:val="18"/>
                          </w:rPr>
                          <w:t>All Head Start and Early Head Start Grantees</w:t>
                        </w:r>
                      </w:p>
                      <w:p w:rsidR="005C0C0D" w:rsidRPr="005C0C0D" w:rsidRDefault="005C0C0D" w:rsidP="005C0C0D">
                        <w:pPr>
                          <w:spacing w:before="100" w:beforeAutospacing="1" w:after="100" w:afterAutospacing="1" w:line="270" w:lineRule="atLeast"/>
                          <w:textAlignment w:val="baseline"/>
                          <w:rPr>
                            <w:rFonts w:ascii="Arial" w:eastAsia="Times New Roman" w:hAnsi="Arial" w:cs="Arial"/>
                            <w:color w:val="333333"/>
                            <w:sz w:val="18"/>
                            <w:szCs w:val="18"/>
                          </w:rPr>
                        </w:pPr>
                        <w:r w:rsidRPr="005C0C0D">
                          <w:rPr>
                            <w:rFonts w:ascii="Arial" w:eastAsia="Times New Roman" w:hAnsi="Arial" w:cs="Arial"/>
                            <w:b/>
                            <w:bCs/>
                            <w:color w:val="333333"/>
                            <w:sz w:val="18"/>
                            <w:szCs w:val="18"/>
                          </w:rPr>
                          <w:t>SUBJECT: </w:t>
                        </w:r>
                        <w:r w:rsidRPr="005C0C0D">
                          <w:rPr>
                            <w:rFonts w:ascii="Arial" w:eastAsia="Times New Roman" w:hAnsi="Arial" w:cs="Arial"/>
                            <w:color w:val="333333"/>
                            <w:sz w:val="18"/>
                            <w:szCs w:val="18"/>
                          </w:rPr>
                          <w:t>Fiscal Year (FY) 2022 Monitoring Process for Head Start and Early Head Start Grantees</w:t>
                        </w:r>
                      </w:p>
                      <w:p w:rsidR="005C0C0D" w:rsidRPr="005C0C0D" w:rsidRDefault="005C0C0D" w:rsidP="005C0C0D">
                        <w:pPr>
                          <w:spacing w:before="100" w:beforeAutospacing="1" w:after="100" w:afterAutospacing="1" w:line="270" w:lineRule="atLeast"/>
                          <w:textAlignment w:val="baseline"/>
                          <w:rPr>
                            <w:rFonts w:ascii="Arial" w:eastAsia="Times New Roman" w:hAnsi="Arial" w:cs="Arial"/>
                            <w:color w:val="333333"/>
                            <w:sz w:val="18"/>
                            <w:szCs w:val="18"/>
                          </w:rPr>
                        </w:pPr>
                        <w:r w:rsidRPr="005C0C0D">
                          <w:rPr>
                            <w:rFonts w:ascii="Arial" w:eastAsia="Times New Roman" w:hAnsi="Arial" w:cs="Arial"/>
                            <w:b/>
                            <w:bCs/>
                            <w:color w:val="333333"/>
                            <w:sz w:val="18"/>
                            <w:szCs w:val="18"/>
                          </w:rPr>
                          <w:t>INFORMATION: </w:t>
                        </w:r>
                        <w:r w:rsidRPr="005C0C0D">
                          <w:rPr>
                            <w:rFonts w:ascii="Arial" w:eastAsia="Times New Roman" w:hAnsi="Arial" w:cs="Arial"/>
                            <w:color w:val="333333"/>
                            <w:sz w:val="18"/>
                            <w:szCs w:val="18"/>
                          </w:rPr>
                          <w:t>Sec. 641A of the Improving Head Start for School Readiness Act of 2007 requires the Office of Head Start (OHS) to implement ongoing monitoring of all programs receiving federal funds. In FY 2022, OHS will resume on-site monitoring reviews and Classroom Assessment Scoring System (CLASS®) reviews.</w:t>
                        </w:r>
                      </w:p>
                      <w:p w:rsidR="005C0C0D" w:rsidRPr="005C0C0D" w:rsidRDefault="005C0C0D" w:rsidP="005C0C0D">
                        <w:pPr>
                          <w:spacing w:before="100" w:beforeAutospacing="1" w:after="100" w:afterAutospacing="1" w:line="270" w:lineRule="atLeast"/>
                          <w:textAlignment w:val="baseline"/>
                          <w:rPr>
                            <w:rFonts w:ascii="Arial" w:eastAsia="Times New Roman" w:hAnsi="Arial" w:cs="Arial"/>
                            <w:color w:val="333333"/>
                            <w:sz w:val="18"/>
                            <w:szCs w:val="18"/>
                          </w:rPr>
                        </w:pPr>
                        <w:r w:rsidRPr="005C0C0D">
                          <w:rPr>
                            <w:rFonts w:ascii="Arial" w:eastAsia="Times New Roman" w:hAnsi="Arial" w:cs="Arial"/>
                            <w:color w:val="333333"/>
                            <w:sz w:val="18"/>
                            <w:szCs w:val="18"/>
                          </w:rPr>
                          <w:t>On-site reviews will begin in January 2022, as local conditions allow. Wh</w:t>
                        </w:r>
                        <w:bookmarkStart w:id="0" w:name="_GoBack"/>
                        <w:bookmarkEnd w:id="0"/>
                        <w:r w:rsidRPr="005C0C0D">
                          <w:rPr>
                            <w:rFonts w:ascii="Arial" w:eastAsia="Times New Roman" w:hAnsi="Arial" w:cs="Arial"/>
                            <w:color w:val="333333"/>
                            <w:sz w:val="18"/>
                            <w:szCs w:val="18"/>
                          </w:rPr>
                          <w:t>ile on-site, monitors will follow U.S. Centers for Disease Control and Prevention (CDC) health and safety guidelines. Further, OHS is committed to partnering with grantees when preparing for on-site reviews to maintain a safe environment for children, families, and staff within the program. If local conditions do not allow for an on-site review, OHS reserves the right to conduct an off-site review.</w:t>
                        </w:r>
                      </w:p>
                      <w:p w:rsidR="005C0C0D" w:rsidRPr="005C0C0D" w:rsidRDefault="005C0C0D" w:rsidP="005C0C0D">
                        <w:pPr>
                          <w:spacing w:before="100" w:beforeAutospacing="1" w:after="100" w:afterAutospacing="1" w:line="270" w:lineRule="atLeast"/>
                          <w:textAlignment w:val="baseline"/>
                          <w:rPr>
                            <w:rFonts w:ascii="Arial" w:eastAsia="Times New Roman" w:hAnsi="Arial" w:cs="Arial"/>
                            <w:color w:val="333333"/>
                            <w:sz w:val="18"/>
                            <w:szCs w:val="18"/>
                          </w:rPr>
                        </w:pPr>
                        <w:r w:rsidRPr="005C0C0D">
                          <w:rPr>
                            <w:rFonts w:ascii="Arial" w:eastAsia="Times New Roman" w:hAnsi="Arial" w:cs="Arial"/>
                            <w:color w:val="333333"/>
                            <w:sz w:val="18"/>
                            <w:szCs w:val="18"/>
                          </w:rPr>
                          <w:t>Upon request, grantees are required to submit an accurate calendar of availability. The availability information is used to schedule monitoring reviews and visits by Regional Office staff. As changes in program availability occur, grantees must update their calendars. OHS is unable to accommodate requests to reschedule reviews in program year 2021–2022.</w:t>
                        </w:r>
                      </w:p>
                      <w:p w:rsidR="005C0C0D" w:rsidRPr="005C0C0D" w:rsidRDefault="005C0C0D" w:rsidP="005C0C0D">
                        <w:pPr>
                          <w:spacing w:before="100" w:beforeAutospacing="1" w:after="100" w:afterAutospacing="1" w:line="270" w:lineRule="atLeast"/>
                          <w:textAlignment w:val="baseline"/>
                          <w:rPr>
                            <w:rFonts w:ascii="Arial" w:eastAsia="Times New Roman" w:hAnsi="Arial" w:cs="Arial"/>
                            <w:color w:val="333333"/>
                            <w:sz w:val="18"/>
                            <w:szCs w:val="18"/>
                          </w:rPr>
                        </w:pPr>
                        <w:r w:rsidRPr="005C0C0D">
                          <w:rPr>
                            <w:rFonts w:ascii="Arial" w:eastAsia="Times New Roman" w:hAnsi="Arial" w:cs="Arial"/>
                            <w:color w:val="333333"/>
                            <w:sz w:val="18"/>
                            <w:szCs w:val="18"/>
                          </w:rPr>
                          <w:t>In addition to outlining the status of monitoring reviews in FY 2022, this Information Memorandum reiterates updates to the CLASS® condition within the Designation Renewal System (DRS), including the creation of quality thresholds for each domain of the CLASS®.</w:t>
                        </w:r>
                      </w:p>
                      <w:p w:rsidR="005C0C0D" w:rsidRPr="005C0C0D" w:rsidRDefault="005C0C0D" w:rsidP="005C0C0D">
                        <w:pPr>
                          <w:spacing w:before="100" w:beforeAutospacing="1" w:after="100" w:afterAutospacing="1" w:line="270" w:lineRule="atLeast"/>
                          <w:textAlignment w:val="baseline"/>
                          <w:rPr>
                            <w:rFonts w:ascii="Arial" w:eastAsia="Times New Roman" w:hAnsi="Arial" w:cs="Arial"/>
                            <w:color w:val="333333"/>
                            <w:sz w:val="18"/>
                            <w:szCs w:val="18"/>
                          </w:rPr>
                        </w:pPr>
                        <w:r w:rsidRPr="005C0C0D">
                          <w:rPr>
                            <w:rFonts w:ascii="Arial" w:eastAsia="Times New Roman" w:hAnsi="Arial" w:cs="Arial"/>
                            <w:b/>
                            <w:bCs/>
                            <w:color w:val="333333"/>
                            <w:sz w:val="18"/>
                            <w:szCs w:val="18"/>
                          </w:rPr>
                          <w:t>FY 2022 Monitoring Reviews</w:t>
                        </w:r>
                      </w:p>
                      <w:tbl>
                        <w:tblPr>
                          <w:tblW w:w="5150" w:type="pct"/>
                          <w:tblCellSpacing w:w="7" w:type="dxa"/>
                          <w:tblCellMar>
                            <w:top w:w="15" w:type="dxa"/>
                            <w:left w:w="15" w:type="dxa"/>
                            <w:bottom w:w="15" w:type="dxa"/>
                            <w:right w:w="15" w:type="dxa"/>
                          </w:tblCellMar>
                          <w:tblLook w:val="04A0" w:firstRow="1" w:lastRow="0" w:firstColumn="1" w:lastColumn="0" w:noHBand="0" w:noVBand="1"/>
                        </w:tblPr>
                        <w:tblGrid>
                          <w:gridCol w:w="2766"/>
                          <w:gridCol w:w="3421"/>
                          <w:gridCol w:w="3238"/>
                        </w:tblGrid>
                        <w:tr w:rsidR="005C0C0D" w:rsidRPr="005C0C0D" w:rsidTr="005C0C0D">
                          <w:trPr>
                            <w:tblHeader/>
                            <w:tblCellSpacing w:w="7" w:type="dxa"/>
                          </w:trPr>
                          <w:tc>
                            <w:tcPr>
                              <w:tcW w:w="1450" w:type="pct"/>
                              <w:vAlign w:val="bottom"/>
                              <w:hideMark/>
                            </w:tcPr>
                            <w:p w:rsidR="005C0C0D" w:rsidRPr="005C0C0D" w:rsidRDefault="005C0C0D" w:rsidP="005C0C0D">
                              <w:pPr>
                                <w:spacing w:before="100" w:beforeAutospacing="1" w:after="100" w:afterAutospacing="1"/>
                                <w:rPr>
                                  <w:rFonts w:eastAsia="Times New Roman"/>
                                  <w:b/>
                                  <w:bCs/>
                                </w:rPr>
                              </w:pPr>
                              <w:r w:rsidRPr="005C0C0D">
                                <w:rPr>
                                  <w:rFonts w:eastAsia="Times New Roman"/>
                                  <w:b/>
                                  <w:bCs/>
                                </w:rPr>
                                <w:t>Review Type</w:t>
                              </w:r>
                            </w:p>
                          </w:tc>
                          <w:tc>
                            <w:tcPr>
                              <w:tcW w:w="1800" w:type="pct"/>
                              <w:vAlign w:val="bottom"/>
                              <w:hideMark/>
                            </w:tcPr>
                            <w:p w:rsidR="005C0C0D" w:rsidRPr="005C0C0D" w:rsidRDefault="005C0C0D" w:rsidP="005C0C0D">
                              <w:pPr>
                                <w:spacing w:before="100" w:beforeAutospacing="1" w:after="100" w:afterAutospacing="1"/>
                                <w:rPr>
                                  <w:rFonts w:eastAsia="Times New Roman"/>
                                  <w:b/>
                                  <w:bCs/>
                                </w:rPr>
                              </w:pPr>
                              <w:r w:rsidRPr="005C0C0D">
                                <w:rPr>
                                  <w:rFonts w:eastAsia="Times New Roman"/>
                                  <w:b/>
                                  <w:bCs/>
                                </w:rPr>
                                <w:t>FY 2022 Implementation</w:t>
                              </w:r>
                            </w:p>
                          </w:tc>
                          <w:tc>
                            <w:tcPr>
                              <w:tcW w:w="1700" w:type="pct"/>
                              <w:vAlign w:val="bottom"/>
                              <w:hideMark/>
                            </w:tcPr>
                            <w:p w:rsidR="005C0C0D" w:rsidRPr="005C0C0D" w:rsidRDefault="005C0C0D" w:rsidP="005C0C0D">
                              <w:pPr>
                                <w:spacing w:before="100" w:beforeAutospacing="1" w:after="100" w:afterAutospacing="1"/>
                                <w:rPr>
                                  <w:rFonts w:eastAsia="Times New Roman"/>
                                  <w:b/>
                                  <w:bCs/>
                                </w:rPr>
                              </w:pPr>
                              <w:r w:rsidRPr="005C0C0D">
                                <w:rPr>
                                  <w:rFonts w:eastAsia="Times New Roman"/>
                                  <w:b/>
                                  <w:bCs/>
                                </w:rPr>
                                <w:t>Start Date</w:t>
                              </w:r>
                            </w:p>
                          </w:tc>
                        </w:tr>
                        <w:tr w:rsidR="005C0C0D" w:rsidRPr="005C0C0D" w:rsidTr="005C0C0D">
                          <w:trPr>
                            <w:tblCellSpacing w:w="7" w:type="dxa"/>
                          </w:trPr>
                          <w:tc>
                            <w:tcPr>
                              <w:tcW w:w="1450" w:type="pct"/>
                              <w:vAlign w:val="center"/>
                              <w:hideMark/>
                            </w:tcPr>
                            <w:p w:rsidR="005C0C0D" w:rsidRPr="005C0C0D" w:rsidRDefault="005C0C0D" w:rsidP="005C0C0D">
                              <w:pPr>
                                <w:spacing w:before="100" w:beforeAutospacing="1" w:after="100" w:afterAutospacing="1"/>
                                <w:rPr>
                                  <w:rFonts w:eastAsia="Times New Roman"/>
                                </w:rPr>
                              </w:pPr>
                              <w:r w:rsidRPr="005C0C0D">
                                <w:rPr>
                                  <w:rFonts w:eastAsia="Times New Roman"/>
                                </w:rPr>
                                <w:t>Focus Area 1 (FA1)</w:t>
                              </w:r>
                            </w:p>
                          </w:tc>
                          <w:tc>
                            <w:tcPr>
                              <w:tcW w:w="1800" w:type="pct"/>
                              <w:vAlign w:val="center"/>
                              <w:hideMark/>
                            </w:tcPr>
                            <w:p w:rsidR="005C0C0D" w:rsidRPr="005C0C0D" w:rsidRDefault="005C0C0D" w:rsidP="005C0C0D">
                              <w:pPr>
                                <w:spacing w:before="100" w:beforeAutospacing="1" w:after="100" w:afterAutospacing="1"/>
                                <w:rPr>
                                  <w:rFonts w:eastAsia="Times New Roman"/>
                                </w:rPr>
                              </w:pPr>
                              <w:r w:rsidRPr="005C0C0D">
                                <w:rPr>
                                  <w:rFonts w:eastAsia="Times New Roman"/>
                                </w:rPr>
                                <w:t>FA1 reviews will be conducted, as usual, through a virtual format.</w:t>
                              </w:r>
                            </w:p>
                          </w:tc>
                          <w:tc>
                            <w:tcPr>
                              <w:tcW w:w="1700" w:type="pct"/>
                              <w:vAlign w:val="center"/>
                              <w:hideMark/>
                            </w:tcPr>
                            <w:p w:rsidR="005C0C0D" w:rsidRPr="005C0C0D" w:rsidRDefault="005C0C0D" w:rsidP="005C0C0D">
                              <w:pPr>
                                <w:spacing w:before="100" w:beforeAutospacing="1" w:after="100" w:afterAutospacing="1"/>
                                <w:rPr>
                                  <w:rFonts w:eastAsia="Times New Roman"/>
                                </w:rPr>
                              </w:pPr>
                              <w:r w:rsidRPr="005C0C0D">
                                <w:rPr>
                                  <w:rFonts w:eastAsia="Times New Roman"/>
                                </w:rPr>
                                <w:t>October 2021</w:t>
                              </w:r>
                            </w:p>
                          </w:tc>
                        </w:tr>
                        <w:tr w:rsidR="005C0C0D" w:rsidRPr="005C0C0D" w:rsidTr="005C0C0D">
                          <w:trPr>
                            <w:tblCellSpacing w:w="7" w:type="dxa"/>
                          </w:trPr>
                          <w:tc>
                            <w:tcPr>
                              <w:tcW w:w="1450" w:type="pct"/>
                              <w:vAlign w:val="center"/>
                              <w:hideMark/>
                            </w:tcPr>
                            <w:p w:rsidR="005C0C0D" w:rsidRPr="005C0C0D" w:rsidRDefault="005C0C0D" w:rsidP="005C0C0D">
                              <w:pPr>
                                <w:spacing w:before="100" w:beforeAutospacing="1" w:after="100" w:afterAutospacing="1"/>
                                <w:rPr>
                                  <w:rFonts w:eastAsia="Times New Roman"/>
                                </w:rPr>
                              </w:pPr>
                              <w:r w:rsidRPr="005C0C0D">
                                <w:rPr>
                                  <w:rFonts w:eastAsia="Times New Roman"/>
                                </w:rPr>
                                <w:t>Focus Area 2 (FA2)</w:t>
                              </w:r>
                            </w:p>
                          </w:tc>
                          <w:tc>
                            <w:tcPr>
                              <w:tcW w:w="1800" w:type="pct"/>
                              <w:vAlign w:val="center"/>
                              <w:hideMark/>
                            </w:tcPr>
                            <w:p w:rsidR="005C0C0D" w:rsidRPr="005C0C0D" w:rsidRDefault="005C0C0D" w:rsidP="005C0C0D">
                              <w:pPr>
                                <w:spacing w:before="100" w:beforeAutospacing="1" w:after="100" w:afterAutospacing="1"/>
                                <w:rPr>
                                  <w:rFonts w:eastAsia="Times New Roman"/>
                                </w:rPr>
                              </w:pPr>
                              <w:r w:rsidRPr="005C0C0D">
                                <w:rPr>
                                  <w:rFonts w:eastAsia="Times New Roman"/>
                                </w:rPr>
                                <w:t>FA2 reviews will resume in-person for the 2021–2022 program year.</w:t>
                              </w:r>
                            </w:p>
                          </w:tc>
                          <w:tc>
                            <w:tcPr>
                              <w:tcW w:w="1700" w:type="pct"/>
                              <w:vAlign w:val="center"/>
                              <w:hideMark/>
                            </w:tcPr>
                            <w:p w:rsidR="005C0C0D" w:rsidRPr="005C0C0D" w:rsidRDefault="005C0C0D" w:rsidP="005C0C0D">
                              <w:pPr>
                                <w:spacing w:before="100" w:beforeAutospacing="1" w:after="100" w:afterAutospacing="1"/>
                                <w:rPr>
                                  <w:rFonts w:eastAsia="Times New Roman"/>
                                </w:rPr>
                              </w:pPr>
                              <w:r w:rsidRPr="005C0C0D">
                                <w:rPr>
                                  <w:rFonts w:eastAsia="Times New Roman"/>
                                </w:rPr>
                                <w:t>January 2022</w:t>
                              </w:r>
                            </w:p>
                          </w:tc>
                        </w:tr>
                        <w:tr w:rsidR="005C0C0D" w:rsidRPr="005C0C0D" w:rsidTr="005C0C0D">
                          <w:trPr>
                            <w:tblCellSpacing w:w="7" w:type="dxa"/>
                          </w:trPr>
                          <w:tc>
                            <w:tcPr>
                              <w:tcW w:w="1450" w:type="pct"/>
                              <w:vAlign w:val="center"/>
                              <w:hideMark/>
                            </w:tcPr>
                            <w:p w:rsidR="005C0C0D" w:rsidRPr="005C0C0D" w:rsidRDefault="005C0C0D" w:rsidP="005C0C0D">
                              <w:pPr>
                                <w:spacing w:before="100" w:beforeAutospacing="1" w:after="100" w:afterAutospacing="1"/>
                                <w:rPr>
                                  <w:rFonts w:eastAsia="Times New Roman"/>
                                </w:rPr>
                              </w:pPr>
                              <w:r w:rsidRPr="005C0C0D">
                                <w:rPr>
                                  <w:rFonts w:eastAsia="Times New Roman"/>
                                </w:rPr>
                                <w:lastRenderedPageBreak/>
                                <w:t>CLASS®</w:t>
                              </w:r>
                            </w:p>
                          </w:tc>
                          <w:tc>
                            <w:tcPr>
                              <w:tcW w:w="1800" w:type="pct"/>
                              <w:vAlign w:val="center"/>
                              <w:hideMark/>
                            </w:tcPr>
                            <w:p w:rsidR="005C0C0D" w:rsidRPr="005C0C0D" w:rsidRDefault="005C0C0D" w:rsidP="005C0C0D">
                              <w:pPr>
                                <w:spacing w:before="100" w:beforeAutospacing="1" w:after="100" w:afterAutospacing="1"/>
                                <w:rPr>
                                  <w:rFonts w:eastAsia="Times New Roman"/>
                                </w:rPr>
                              </w:pPr>
                              <w:r w:rsidRPr="005C0C0D">
                                <w:rPr>
                                  <w:rFonts w:eastAsia="Times New Roman"/>
                                </w:rPr>
                                <w:t>CLASS® reviews will resume in-person for the 2021–2022 program year.</w:t>
                              </w:r>
                            </w:p>
                          </w:tc>
                          <w:tc>
                            <w:tcPr>
                              <w:tcW w:w="1700" w:type="pct"/>
                              <w:vAlign w:val="center"/>
                              <w:hideMark/>
                            </w:tcPr>
                            <w:p w:rsidR="005C0C0D" w:rsidRPr="005C0C0D" w:rsidRDefault="005C0C0D" w:rsidP="005C0C0D">
                              <w:pPr>
                                <w:spacing w:before="100" w:beforeAutospacing="1" w:after="100" w:afterAutospacing="1"/>
                                <w:rPr>
                                  <w:rFonts w:eastAsia="Times New Roman"/>
                                </w:rPr>
                              </w:pPr>
                              <w:r w:rsidRPr="005C0C0D">
                                <w:rPr>
                                  <w:rFonts w:eastAsia="Times New Roman"/>
                                </w:rPr>
                                <w:t>January 2022</w:t>
                              </w:r>
                            </w:p>
                          </w:tc>
                        </w:tr>
                        <w:tr w:rsidR="005C0C0D" w:rsidRPr="005C0C0D" w:rsidTr="005C0C0D">
                          <w:trPr>
                            <w:tblCellSpacing w:w="7" w:type="dxa"/>
                          </w:trPr>
                          <w:tc>
                            <w:tcPr>
                              <w:tcW w:w="1450" w:type="pct"/>
                              <w:vAlign w:val="center"/>
                              <w:hideMark/>
                            </w:tcPr>
                            <w:p w:rsidR="005C0C0D" w:rsidRPr="005C0C0D" w:rsidRDefault="005C0C0D" w:rsidP="005C0C0D">
                              <w:pPr>
                                <w:spacing w:before="100" w:beforeAutospacing="1" w:after="100" w:afterAutospacing="1"/>
                                <w:rPr>
                                  <w:rFonts w:eastAsia="Times New Roman"/>
                                </w:rPr>
                              </w:pPr>
                              <w:r w:rsidRPr="005C0C0D">
                                <w:rPr>
                                  <w:rFonts w:eastAsia="Times New Roman"/>
                                </w:rPr>
                                <w:t>Follow-up</w:t>
                              </w:r>
                            </w:p>
                          </w:tc>
                          <w:tc>
                            <w:tcPr>
                              <w:tcW w:w="1800" w:type="pct"/>
                              <w:vAlign w:val="center"/>
                              <w:hideMark/>
                            </w:tcPr>
                            <w:p w:rsidR="005C0C0D" w:rsidRPr="005C0C0D" w:rsidRDefault="005C0C0D" w:rsidP="005C0C0D">
                              <w:pPr>
                                <w:spacing w:before="100" w:beforeAutospacing="1" w:after="100" w:afterAutospacing="1"/>
                                <w:rPr>
                                  <w:rFonts w:eastAsia="Times New Roman"/>
                                </w:rPr>
                              </w:pPr>
                              <w:r w:rsidRPr="005C0C0D">
                                <w:rPr>
                                  <w:rFonts w:eastAsia="Times New Roman"/>
                                </w:rPr>
                                <w:t>Follow-up reviews will be conducted either in-person or virtually by your Regional Office.</w:t>
                              </w:r>
                            </w:p>
                          </w:tc>
                          <w:tc>
                            <w:tcPr>
                              <w:tcW w:w="1700" w:type="pct"/>
                              <w:vAlign w:val="center"/>
                              <w:hideMark/>
                            </w:tcPr>
                            <w:p w:rsidR="005C0C0D" w:rsidRPr="005C0C0D" w:rsidRDefault="005C0C0D" w:rsidP="005C0C0D">
                              <w:pPr>
                                <w:spacing w:before="100" w:beforeAutospacing="1" w:after="100" w:afterAutospacing="1"/>
                                <w:rPr>
                                  <w:rFonts w:eastAsia="Times New Roman"/>
                                </w:rPr>
                              </w:pPr>
                              <w:r w:rsidRPr="005C0C0D">
                                <w:rPr>
                                  <w:rFonts w:eastAsia="Times New Roman"/>
                                </w:rPr>
                                <w:t>Start dates will coincide with the end of the corrective action period.</w:t>
                              </w:r>
                            </w:p>
                          </w:tc>
                        </w:tr>
                        <w:tr w:rsidR="005C0C0D" w:rsidRPr="005C0C0D" w:rsidTr="005C0C0D">
                          <w:trPr>
                            <w:tblCellSpacing w:w="7" w:type="dxa"/>
                          </w:trPr>
                          <w:tc>
                            <w:tcPr>
                              <w:tcW w:w="1450" w:type="pct"/>
                              <w:vAlign w:val="center"/>
                              <w:hideMark/>
                            </w:tcPr>
                            <w:p w:rsidR="005C0C0D" w:rsidRPr="005C0C0D" w:rsidRDefault="005C0C0D" w:rsidP="005C0C0D">
                              <w:pPr>
                                <w:spacing w:before="100" w:beforeAutospacing="1" w:after="100" w:afterAutospacing="1"/>
                                <w:rPr>
                                  <w:rFonts w:eastAsia="Times New Roman"/>
                                </w:rPr>
                              </w:pPr>
                              <w:r w:rsidRPr="005C0C0D">
                                <w:rPr>
                                  <w:rFonts w:eastAsia="Times New Roman"/>
                                </w:rPr>
                                <w:t>American Indian and</w:t>
                              </w:r>
                              <w:r w:rsidRPr="005C0C0D">
                                <w:rPr>
                                  <w:rFonts w:eastAsia="Times New Roman"/>
                                </w:rPr>
                                <w:br/>
                                <w:t>Alaska Native (AIAN) Reevaluations</w:t>
                              </w:r>
                            </w:p>
                          </w:tc>
                          <w:tc>
                            <w:tcPr>
                              <w:tcW w:w="1800" w:type="pct"/>
                              <w:vAlign w:val="center"/>
                              <w:hideMark/>
                            </w:tcPr>
                            <w:p w:rsidR="005C0C0D" w:rsidRPr="005C0C0D" w:rsidRDefault="005C0C0D" w:rsidP="005C0C0D">
                              <w:pPr>
                                <w:spacing w:before="100" w:beforeAutospacing="1" w:after="100" w:afterAutospacing="1"/>
                                <w:rPr>
                                  <w:rFonts w:eastAsia="Times New Roman"/>
                                </w:rPr>
                              </w:pPr>
                              <w:r w:rsidRPr="005C0C0D">
                                <w:rPr>
                                  <w:rFonts w:eastAsia="Times New Roman"/>
                                </w:rPr>
                                <w:t>AIAN reevaluation reviews will be conducted either in-person or virtually by the applicable Regional Office.</w:t>
                              </w:r>
                            </w:p>
                          </w:tc>
                          <w:tc>
                            <w:tcPr>
                              <w:tcW w:w="1700" w:type="pct"/>
                              <w:vAlign w:val="center"/>
                              <w:hideMark/>
                            </w:tcPr>
                            <w:p w:rsidR="005C0C0D" w:rsidRPr="005C0C0D" w:rsidRDefault="005C0C0D" w:rsidP="005C0C0D">
                              <w:pPr>
                                <w:spacing w:before="100" w:beforeAutospacing="1" w:after="100" w:afterAutospacing="1"/>
                                <w:rPr>
                                  <w:rFonts w:eastAsia="Times New Roman"/>
                                </w:rPr>
                              </w:pPr>
                              <w:r w:rsidRPr="005C0C0D">
                                <w:rPr>
                                  <w:rFonts w:eastAsia="Times New Roman"/>
                                </w:rPr>
                                <w:t>Start dates will coincide with the Tribal DRS Consultation process and Plan to Improve Quality.</w:t>
                              </w:r>
                            </w:p>
                          </w:tc>
                        </w:tr>
                        <w:tr w:rsidR="005C0C0D" w:rsidRPr="005C0C0D" w:rsidTr="005C0C0D">
                          <w:trPr>
                            <w:tblCellSpacing w:w="7" w:type="dxa"/>
                          </w:trPr>
                          <w:tc>
                            <w:tcPr>
                              <w:tcW w:w="1450" w:type="pct"/>
                              <w:vAlign w:val="center"/>
                              <w:hideMark/>
                            </w:tcPr>
                            <w:p w:rsidR="005C0C0D" w:rsidRPr="005C0C0D" w:rsidRDefault="005C0C0D" w:rsidP="005C0C0D">
                              <w:pPr>
                                <w:spacing w:before="100" w:beforeAutospacing="1" w:after="100" w:afterAutospacing="1"/>
                                <w:rPr>
                                  <w:rFonts w:eastAsia="Times New Roman"/>
                                </w:rPr>
                              </w:pPr>
                              <w:r w:rsidRPr="005C0C0D">
                                <w:rPr>
                                  <w:rFonts w:eastAsia="Times New Roman"/>
                                </w:rPr>
                                <w:t>Other</w:t>
                              </w:r>
                            </w:p>
                          </w:tc>
                          <w:tc>
                            <w:tcPr>
                              <w:tcW w:w="1800" w:type="pct"/>
                              <w:vAlign w:val="center"/>
                              <w:hideMark/>
                            </w:tcPr>
                            <w:p w:rsidR="005C0C0D" w:rsidRPr="005C0C0D" w:rsidRDefault="005C0C0D" w:rsidP="005C0C0D">
                              <w:pPr>
                                <w:spacing w:before="100" w:beforeAutospacing="1" w:after="100" w:afterAutospacing="1"/>
                                <w:rPr>
                                  <w:rFonts w:eastAsia="Times New Roman"/>
                                </w:rPr>
                              </w:pPr>
                              <w:r w:rsidRPr="005C0C0D">
                                <w:rPr>
                                  <w:rFonts w:eastAsia="Times New Roman"/>
                                </w:rPr>
                                <w:t>OHS reserves the right to conduct special off-site or on-site reviews</w:t>
                              </w:r>
                            </w:p>
                          </w:tc>
                          <w:tc>
                            <w:tcPr>
                              <w:tcW w:w="1700" w:type="pct"/>
                              <w:vAlign w:val="center"/>
                              <w:hideMark/>
                            </w:tcPr>
                            <w:p w:rsidR="005C0C0D" w:rsidRPr="005C0C0D" w:rsidRDefault="005C0C0D" w:rsidP="005C0C0D">
                              <w:pPr>
                                <w:spacing w:before="100" w:beforeAutospacing="1" w:after="100" w:afterAutospacing="1"/>
                                <w:rPr>
                                  <w:rFonts w:eastAsia="Times New Roman"/>
                                </w:rPr>
                              </w:pPr>
                              <w:r w:rsidRPr="005C0C0D">
                                <w:rPr>
                                  <w:rFonts w:eastAsia="Times New Roman"/>
                                </w:rPr>
                                <w:t>TBD, as needed</w:t>
                              </w:r>
                            </w:p>
                          </w:tc>
                        </w:tr>
                      </w:tbl>
                      <w:p w:rsidR="005C0C0D" w:rsidRPr="005C0C0D" w:rsidRDefault="005C0C0D" w:rsidP="005C0C0D">
                        <w:pPr>
                          <w:spacing w:before="100" w:beforeAutospacing="1" w:after="100" w:afterAutospacing="1" w:line="270" w:lineRule="atLeast"/>
                          <w:textAlignment w:val="baseline"/>
                          <w:rPr>
                            <w:rFonts w:ascii="Arial" w:eastAsia="Times New Roman" w:hAnsi="Arial" w:cs="Arial"/>
                            <w:color w:val="333333"/>
                            <w:sz w:val="18"/>
                            <w:szCs w:val="18"/>
                          </w:rPr>
                        </w:pPr>
                        <w:r w:rsidRPr="005C0C0D">
                          <w:rPr>
                            <w:rFonts w:ascii="Arial" w:eastAsia="Times New Roman" w:hAnsi="Arial" w:cs="Arial"/>
                            <w:color w:val="333333"/>
                            <w:sz w:val="18"/>
                            <w:szCs w:val="18"/>
                          </w:rPr>
                          <w:t>Grantees scheduled to receive a monitoring review in FY 2022 will receive a notification letter at least 45 days prior to the start of their review event. Grantees can expect a planning call with their assigned review lead to discuss the review schedule. The FA1 and FA2 reviews will include conversations on the following content areas:</w:t>
                        </w:r>
                      </w:p>
                      <w:p w:rsidR="005C0C0D" w:rsidRPr="005C0C0D" w:rsidRDefault="005C0C0D" w:rsidP="005C0C0D">
                        <w:pPr>
                          <w:numPr>
                            <w:ilvl w:val="0"/>
                            <w:numId w:val="1"/>
                          </w:numPr>
                          <w:spacing w:before="100" w:beforeAutospacing="1" w:after="100" w:afterAutospacing="1" w:line="270" w:lineRule="atLeast"/>
                          <w:textAlignment w:val="baseline"/>
                          <w:rPr>
                            <w:rFonts w:ascii="Arial" w:eastAsia="Times New Roman" w:hAnsi="Arial" w:cs="Arial"/>
                            <w:color w:val="333333"/>
                            <w:sz w:val="18"/>
                            <w:szCs w:val="18"/>
                          </w:rPr>
                        </w:pPr>
                        <w:r w:rsidRPr="005C0C0D">
                          <w:rPr>
                            <w:rFonts w:ascii="Arial" w:eastAsia="Times New Roman" w:hAnsi="Arial" w:cs="Arial"/>
                            <w:color w:val="333333"/>
                            <w:sz w:val="18"/>
                            <w:szCs w:val="18"/>
                          </w:rPr>
                          <w:t>Program Design and Management</w:t>
                        </w:r>
                      </w:p>
                      <w:p w:rsidR="005C0C0D" w:rsidRPr="005C0C0D" w:rsidRDefault="005C0C0D" w:rsidP="005C0C0D">
                        <w:pPr>
                          <w:numPr>
                            <w:ilvl w:val="0"/>
                            <w:numId w:val="1"/>
                          </w:numPr>
                          <w:spacing w:before="100" w:beforeAutospacing="1" w:after="100" w:afterAutospacing="1" w:line="270" w:lineRule="atLeast"/>
                          <w:textAlignment w:val="baseline"/>
                          <w:rPr>
                            <w:rFonts w:ascii="Arial" w:eastAsia="Times New Roman" w:hAnsi="Arial" w:cs="Arial"/>
                            <w:color w:val="333333"/>
                            <w:sz w:val="18"/>
                            <w:szCs w:val="18"/>
                          </w:rPr>
                        </w:pPr>
                        <w:r w:rsidRPr="005C0C0D">
                          <w:rPr>
                            <w:rFonts w:ascii="Arial" w:eastAsia="Times New Roman" w:hAnsi="Arial" w:cs="Arial"/>
                            <w:color w:val="333333"/>
                            <w:sz w:val="18"/>
                            <w:szCs w:val="18"/>
                          </w:rPr>
                          <w:t>Education and Child Development</w:t>
                        </w:r>
                      </w:p>
                      <w:p w:rsidR="005C0C0D" w:rsidRPr="005C0C0D" w:rsidRDefault="005C0C0D" w:rsidP="005C0C0D">
                        <w:pPr>
                          <w:numPr>
                            <w:ilvl w:val="0"/>
                            <w:numId w:val="1"/>
                          </w:numPr>
                          <w:spacing w:before="100" w:beforeAutospacing="1" w:after="100" w:afterAutospacing="1" w:line="270" w:lineRule="atLeast"/>
                          <w:textAlignment w:val="baseline"/>
                          <w:rPr>
                            <w:rFonts w:ascii="Arial" w:eastAsia="Times New Roman" w:hAnsi="Arial" w:cs="Arial"/>
                            <w:color w:val="333333"/>
                            <w:sz w:val="18"/>
                            <w:szCs w:val="18"/>
                          </w:rPr>
                        </w:pPr>
                        <w:r w:rsidRPr="005C0C0D">
                          <w:rPr>
                            <w:rFonts w:ascii="Arial" w:eastAsia="Times New Roman" w:hAnsi="Arial" w:cs="Arial"/>
                            <w:color w:val="333333"/>
                            <w:sz w:val="18"/>
                            <w:szCs w:val="18"/>
                          </w:rPr>
                          <w:t>Health Program Services</w:t>
                        </w:r>
                      </w:p>
                      <w:p w:rsidR="005C0C0D" w:rsidRPr="005C0C0D" w:rsidRDefault="005C0C0D" w:rsidP="005C0C0D">
                        <w:pPr>
                          <w:numPr>
                            <w:ilvl w:val="0"/>
                            <w:numId w:val="1"/>
                          </w:numPr>
                          <w:spacing w:before="100" w:beforeAutospacing="1" w:after="100" w:afterAutospacing="1" w:line="270" w:lineRule="atLeast"/>
                          <w:textAlignment w:val="baseline"/>
                          <w:rPr>
                            <w:rFonts w:ascii="Arial" w:eastAsia="Times New Roman" w:hAnsi="Arial" w:cs="Arial"/>
                            <w:color w:val="333333"/>
                            <w:sz w:val="18"/>
                            <w:szCs w:val="18"/>
                          </w:rPr>
                        </w:pPr>
                        <w:r w:rsidRPr="005C0C0D">
                          <w:rPr>
                            <w:rFonts w:ascii="Arial" w:eastAsia="Times New Roman" w:hAnsi="Arial" w:cs="Arial"/>
                            <w:color w:val="333333"/>
                            <w:sz w:val="18"/>
                            <w:szCs w:val="18"/>
                          </w:rPr>
                          <w:t>Family and Community Engagement</w:t>
                        </w:r>
                      </w:p>
                      <w:p w:rsidR="005C0C0D" w:rsidRPr="005C0C0D" w:rsidRDefault="005C0C0D" w:rsidP="005C0C0D">
                        <w:pPr>
                          <w:numPr>
                            <w:ilvl w:val="0"/>
                            <w:numId w:val="1"/>
                          </w:numPr>
                          <w:spacing w:before="100" w:beforeAutospacing="1" w:after="100" w:afterAutospacing="1" w:line="270" w:lineRule="atLeast"/>
                          <w:textAlignment w:val="baseline"/>
                          <w:rPr>
                            <w:rFonts w:ascii="Arial" w:eastAsia="Times New Roman" w:hAnsi="Arial" w:cs="Arial"/>
                            <w:color w:val="333333"/>
                            <w:sz w:val="18"/>
                            <w:szCs w:val="18"/>
                          </w:rPr>
                        </w:pPr>
                        <w:r w:rsidRPr="005C0C0D">
                          <w:rPr>
                            <w:rFonts w:ascii="Arial" w:eastAsia="Times New Roman" w:hAnsi="Arial" w:cs="Arial"/>
                            <w:color w:val="333333"/>
                            <w:sz w:val="18"/>
                            <w:szCs w:val="18"/>
                          </w:rPr>
                          <w:t>Eligibility, Recruitment, Selection, Enrollment, and Attendance (ERSEA)</w:t>
                        </w:r>
                      </w:p>
                      <w:p w:rsidR="005C0C0D" w:rsidRPr="005C0C0D" w:rsidRDefault="005C0C0D" w:rsidP="005C0C0D">
                        <w:pPr>
                          <w:numPr>
                            <w:ilvl w:val="0"/>
                            <w:numId w:val="1"/>
                          </w:numPr>
                          <w:spacing w:before="100" w:beforeAutospacing="1" w:after="100" w:afterAutospacing="1" w:line="270" w:lineRule="atLeast"/>
                          <w:textAlignment w:val="baseline"/>
                          <w:rPr>
                            <w:rFonts w:ascii="Arial" w:eastAsia="Times New Roman" w:hAnsi="Arial" w:cs="Arial"/>
                            <w:color w:val="333333"/>
                            <w:sz w:val="18"/>
                            <w:szCs w:val="18"/>
                          </w:rPr>
                        </w:pPr>
                        <w:r w:rsidRPr="005C0C0D">
                          <w:rPr>
                            <w:rFonts w:ascii="Arial" w:eastAsia="Times New Roman" w:hAnsi="Arial" w:cs="Arial"/>
                            <w:color w:val="333333"/>
                            <w:sz w:val="18"/>
                            <w:szCs w:val="18"/>
                          </w:rPr>
                          <w:t>Fiscal Infrastructure</w:t>
                        </w:r>
                      </w:p>
                      <w:p w:rsidR="005C0C0D" w:rsidRPr="005C0C0D" w:rsidRDefault="005C0C0D" w:rsidP="005C0C0D">
                        <w:pPr>
                          <w:spacing w:before="100" w:beforeAutospacing="1" w:after="100" w:afterAutospacing="1" w:line="270" w:lineRule="atLeast"/>
                          <w:textAlignment w:val="baseline"/>
                          <w:rPr>
                            <w:rFonts w:ascii="Arial" w:eastAsia="Times New Roman" w:hAnsi="Arial" w:cs="Arial"/>
                            <w:color w:val="333333"/>
                            <w:sz w:val="18"/>
                            <w:szCs w:val="18"/>
                          </w:rPr>
                        </w:pPr>
                        <w:r w:rsidRPr="005C0C0D">
                          <w:rPr>
                            <w:rFonts w:ascii="Arial" w:eastAsia="Times New Roman" w:hAnsi="Arial" w:cs="Arial"/>
                            <w:color w:val="333333"/>
                            <w:sz w:val="18"/>
                            <w:szCs w:val="18"/>
                          </w:rPr>
                          <w:t>During the FA1 and FA2 review processes, grantees will be asked questions about the use of funds received from the Coronavirus Aid, Relief, and Economic Security (CARES) and Coronavirus Response and Relief Supplemental Appropriations (CRRSA) Acts, as well from the American Rescue Plan. Grantees will also be asked about changes made to service delivery in the above content areas within the last 12 months. OHS will request information regarding grantee service delivery model (e.g., in-person services, virtual services, or a hybrid of both) with the understanding that, by January 2022, programs will have returned to in-person comprehensive services as local conditions allow. For additional details regarding expectations for Head Start programs in program year 2021–2022, please reference </w:t>
                        </w:r>
                        <w:hyperlink r:id="rId9" w:history="1">
                          <w:r w:rsidRPr="005C0C0D">
                            <w:rPr>
                              <w:rFonts w:ascii="Arial" w:eastAsia="Times New Roman" w:hAnsi="Arial" w:cs="Arial"/>
                              <w:b/>
                              <w:bCs/>
                              <w:color w:val="0000FF"/>
                              <w:sz w:val="18"/>
                              <w:szCs w:val="18"/>
                              <w:u w:val="single"/>
                            </w:rPr>
                            <w:t>ACF-PI-HS-21-04</w:t>
                          </w:r>
                        </w:hyperlink>
                        <w:r w:rsidRPr="005C0C0D">
                          <w:rPr>
                            <w:rFonts w:ascii="Arial" w:eastAsia="Times New Roman" w:hAnsi="Arial" w:cs="Arial"/>
                            <w:color w:val="333333"/>
                            <w:sz w:val="18"/>
                            <w:szCs w:val="18"/>
                          </w:rPr>
                          <w:t>.</w:t>
                        </w:r>
                      </w:p>
                      <w:p w:rsidR="005C0C0D" w:rsidRPr="005C0C0D" w:rsidRDefault="005C0C0D" w:rsidP="005C0C0D">
                        <w:pPr>
                          <w:spacing w:before="100" w:beforeAutospacing="1" w:after="100" w:afterAutospacing="1" w:line="270" w:lineRule="atLeast"/>
                          <w:textAlignment w:val="baseline"/>
                          <w:rPr>
                            <w:rFonts w:ascii="Arial" w:eastAsia="Times New Roman" w:hAnsi="Arial" w:cs="Arial"/>
                            <w:color w:val="333333"/>
                            <w:sz w:val="18"/>
                            <w:szCs w:val="18"/>
                          </w:rPr>
                        </w:pPr>
                        <w:r w:rsidRPr="005C0C0D">
                          <w:rPr>
                            <w:rFonts w:ascii="Arial" w:eastAsia="Times New Roman" w:hAnsi="Arial" w:cs="Arial"/>
                            <w:color w:val="333333"/>
                            <w:sz w:val="18"/>
                            <w:szCs w:val="18"/>
                          </w:rPr>
                          <w:t>OHS recognizes that the COVID-19 pandemic has exposed persistent inequities within the early childhood education sector and is committed to advancing equity for all eligible individuals to support historically underserved communities. Based on this ongoing priority, grantees are expected to demonstrate how they create a workplace that reflects the diversity of the community served and promotes a culture of belonging. It is critical that programs create an inclusive and accessible environment for all enrolled children, families, and staff.</w:t>
                        </w:r>
                      </w:p>
                      <w:p w:rsidR="005C0C0D" w:rsidRPr="005C0C0D" w:rsidRDefault="005C0C0D" w:rsidP="005C0C0D">
                        <w:pPr>
                          <w:spacing w:before="100" w:beforeAutospacing="1" w:after="100" w:afterAutospacing="1" w:line="270" w:lineRule="atLeast"/>
                          <w:textAlignment w:val="baseline"/>
                          <w:rPr>
                            <w:rFonts w:ascii="Arial" w:eastAsia="Times New Roman" w:hAnsi="Arial" w:cs="Arial"/>
                            <w:color w:val="333333"/>
                            <w:sz w:val="18"/>
                            <w:szCs w:val="18"/>
                          </w:rPr>
                        </w:pPr>
                        <w:r w:rsidRPr="005C0C0D">
                          <w:rPr>
                            <w:rFonts w:ascii="Arial" w:eastAsia="Times New Roman" w:hAnsi="Arial" w:cs="Arial"/>
                            <w:b/>
                            <w:bCs/>
                            <w:color w:val="333333"/>
                            <w:sz w:val="18"/>
                            <w:szCs w:val="18"/>
                          </w:rPr>
                          <w:t>CLASS®</w:t>
                        </w:r>
                        <w:r w:rsidRPr="005C0C0D">
                          <w:rPr>
                            <w:rFonts w:ascii="Arial" w:eastAsia="Times New Roman" w:hAnsi="Arial" w:cs="Arial"/>
                            <w:color w:val="333333"/>
                            <w:sz w:val="18"/>
                            <w:szCs w:val="18"/>
                          </w:rPr>
                          <w:br/>
                          <w:t>Effective November 2020, OHS published a final rule to update three of the seven conditions under the DRS. For the CLASS® condition, the final rule made three major changes. First, the final rule removed the lowest 10% criterion. Second, it raised the CLASS® competitive thresholds as follows: 5 for Emotional Support, 5 for Classroom Organization, and 2.3 for Instructional Support.</w:t>
                        </w:r>
                        <w:bookmarkStart w:id="1" w:name="_ftnref1"/>
                        <w:r w:rsidRPr="005C0C0D">
                          <w:rPr>
                            <w:rFonts w:ascii="Arial" w:eastAsia="Times New Roman" w:hAnsi="Arial" w:cs="Arial"/>
                            <w:color w:val="333333"/>
                            <w:sz w:val="18"/>
                            <w:szCs w:val="18"/>
                          </w:rPr>
                          <w:fldChar w:fldCharType="begin"/>
                        </w:r>
                        <w:r w:rsidRPr="005C0C0D">
                          <w:rPr>
                            <w:rFonts w:ascii="Arial" w:eastAsia="Times New Roman" w:hAnsi="Arial" w:cs="Arial"/>
                            <w:color w:val="333333"/>
                            <w:sz w:val="18"/>
                            <w:szCs w:val="18"/>
                          </w:rPr>
                          <w:instrText xml:space="preserve"> HYPERLINK "https://hendall.createsend1.com/t/ViewEmail/j/1137C106CA8F95DB2540EF23F30FEDED/0918AD74A307BD223FEC1D8A50AFD3BD" \l "_ftn1" \o "" </w:instrText>
                        </w:r>
                        <w:r w:rsidRPr="005C0C0D">
                          <w:rPr>
                            <w:rFonts w:ascii="Arial" w:eastAsia="Times New Roman" w:hAnsi="Arial" w:cs="Arial"/>
                            <w:color w:val="333333"/>
                            <w:sz w:val="18"/>
                            <w:szCs w:val="18"/>
                          </w:rPr>
                          <w:fldChar w:fldCharType="separate"/>
                        </w:r>
                        <w:r w:rsidRPr="005C0C0D">
                          <w:rPr>
                            <w:rFonts w:ascii="Arial" w:eastAsia="Times New Roman" w:hAnsi="Arial" w:cs="Arial"/>
                            <w:color w:val="0000FF"/>
                            <w:sz w:val="18"/>
                            <w:szCs w:val="18"/>
                            <w:u w:val="single"/>
                          </w:rPr>
                          <w:t> </w:t>
                        </w:r>
                        <w:r w:rsidRPr="005C0C0D">
                          <w:rPr>
                            <w:rFonts w:ascii="Arial" w:eastAsia="Times New Roman" w:hAnsi="Arial" w:cs="Arial"/>
                            <w:color w:val="333333"/>
                            <w:sz w:val="18"/>
                            <w:szCs w:val="18"/>
                          </w:rPr>
                          <w:fldChar w:fldCharType="end"/>
                        </w:r>
                        <w:bookmarkEnd w:id="1"/>
                        <w:r w:rsidRPr="005C0C0D">
                          <w:rPr>
                            <w:rFonts w:ascii="Arial" w:eastAsia="Times New Roman" w:hAnsi="Arial" w:cs="Arial"/>
                            <w:color w:val="333333"/>
                            <w:sz w:val="18"/>
                            <w:szCs w:val="18"/>
                          </w:rPr>
                          <w:t>Any grant that receives an average score from a CLASS® review below one or more of these thresholds will be required to compete at the end of their current five-year grant period. Last, the final rule established quality thresholds for each domain of the CLASS® as follows: 6 for Emotional Support, 6 for Classroom Organization, and 3 for Instructional Support.</w:t>
                        </w:r>
                      </w:p>
                      <w:p w:rsidR="005C0C0D" w:rsidRPr="005C0C0D" w:rsidRDefault="005C0C0D" w:rsidP="005C0C0D">
                        <w:pPr>
                          <w:spacing w:before="100" w:beforeAutospacing="1" w:after="100" w:afterAutospacing="1" w:line="270" w:lineRule="atLeast"/>
                          <w:textAlignment w:val="baseline"/>
                          <w:rPr>
                            <w:rFonts w:ascii="Arial" w:eastAsia="Times New Roman" w:hAnsi="Arial" w:cs="Arial"/>
                            <w:color w:val="333333"/>
                            <w:sz w:val="18"/>
                            <w:szCs w:val="18"/>
                          </w:rPr>
                        </w:pPr>
                        <w:r w:rsidRPr="005C0C0D">
                          <w:rPr>
                            <w:rFonts w:ascii="Arial" w:eastAsia="Times New Roman" w:hAnsi="Arial" w:cs="Arial"/>
                            <w:color w:val="333333"/>
                            <w:sz w:val="18"/>
                            <w:szCs w:val="18"/>
                          </w:rPr>
                          <w:t>The new CLASS® quality thresholds represent the expectations of OHS for the quality of teacher-child interactions and the learning environment in every Head Start classroom. The CLASS® quality thresholds do not relate to competition, but instead reflect an opportunity for grantees to focus on quality improvement in the area of teacher-child interactions. For any grantee that receives a score below one or more of the CLASS® quality thresholds, OHS will offer support for quality improvement efforts. The establishment of CLASS® quality thresholds is intended to build on existing program quality improvement efforts to enhance classroom interactions beyond any set floor and will include more intentional OHS support for such efforts through training and technical assistance. For additional details on the final rule, please reference </w:t>
                        </w:r>
                        <w:hyperlink r:id="rId10" w:history="1">
                          <w:r w:rsidRPr="005C0C0D">
                            <w:rPr>
                              <w:rFonts w:ascii="Arial" w:eastAsia="Times New Roman" w:hAnsi="Arial" w:cs="Arial"/>
                              <w:b/>
                              <w:bCs/>
                              <w:color w:val="0000FF"/>
                              <w:sz w:val="18"/>
                              <w:szCs w:val="18"/>
                              <w:u w:val="single"/>
                            </w:rPr>
                            <w:t>ACF-PI-HS-20-05</w:t>
                          </w:r>
                        </w:hyperlink>
                        <w:r w:rsidRPr="005C0C0D">
                          <w:rPr>
                            <w:rFonts w:ascii="Arial" w:eastAsia="Times New Roman" w:hAnsi="Arial" w:cs="Arial"/>
                            <w:color w:val="333333"/>
                            <w:sz w:val="18"/>
                            <w:szCs w:val="18"/>
                          </w:rPr>
                          <w:t>.</w:t>
                        </w:r>
                      </w:p>
                      <w:p w:rsidR="005C0C0D" w:rsidRPr="005C0C0D" w:rsidRDefault="005C0C0D" w:rsidP="005C0C0D">
                        <w:pPr>
                          <w:spacing w:before="100" w:beforeAutospacing="1" w:after="100" w:afterAutospacing="1" w:line="270" w:lineRule="atLeast"/>
                          <w:textAlignment w:val="baseline"/>
                          <w:rPr>
                            <w:rFonts w:ascii="Arial" w:eastAsia="Times New Roman" w:hAnsi="Arial" w:cs="Arial"/>
                            <w:color w:val="333333"/>
                            <w:sz w:val="18"/>
                            <w:szCs w:val="18"/>
                          </w:rPr>
                        </w:pPr>
                        <w:r w:rsidRPr="005C0C0D">
                          <w:rPr>
                            <w:rFonts w:ascii="Arial" w:eastAsia="Times New Roman" w:hAnsi="Arial" w:cs="Arial"/>
                            <w:color w:val="333333"/>
                            <w:sz w:val="18"/>
                            <w:szCs w:val="18"/>
                          </w:rPr>
                          <w:t>If you have any questions or concerns regarding FY 2022 monitoring, please contact your Regional Office.</w:t>
                        </w:r>
                      </w:p>
                      <w:p w:rsidR="005C0C0D" w:rsidRPr="005C0C0D" w:rsidRDefault="005C0C0D" w:rsidP="005C0C0D">
                        <w:pPr>
                          <w:spacing w:before="100" w:beforeAutospacing="1" w:after="100" w:afterAutospacing="1" w:line="270" w:lineRule="atLeast"/>
                          <w:textAlignment w:val="baseline"/>
                          <w:rPr>
                            <w:rFonts w:ascii="Arial" w:eastAsia="Times New Roman" w:hAnsi="Arial" w:cs="Arial"/>
                            <w:color w:val="333333"/>
                            <w:sz w:val="18"/>
                            <w:szCs w:val="18"/>
                          </w:rPr>
                        </w:pPr>
                        <w:r w:rsidRPr="005C0C0D">
                          <w:rPr>
                            <w:rFonts w:ascii="Arial" w:eastAsia="Times New Roman" w:hAnsi="Arial" w:cs="Arial"/>
                            <w:color w:val="333333"/>
                            <w:sz w:val="18"/>
                            <w:szCs w:val="18"/>
                          </w:rPr>
                          <w:t>Thank you for the work you do on behalf of children and families.</w:t>
                        </w:r>
                      </w:p>
                      <w:p w:rsidR="005C0C0D" w:rsidRPr="005C0C0D" w:rsidRDefault="005C0C0D" w:rsidP="005C0C0D">
                        <w:pPr>
                          <w:spacing w:before="100" w:beforeAutospacing="1" w:after="100" w:afterAutospacing="1" w:line="270" w:lineRule="atLeast"/>
                          <w:textAlignment w:val="baseline"/>
                          <w:rPr>
                            <w:rFonts w:ascii="Arial" w:eastAsia="Times New Roman" w:hAnsi="Arial" w:cs="Arial"/>
                            <w:color w:val="333333"/>
                            <w:sz w:val="18"/>
                            <w:szCs w:val="18"/>
                          </w:rPr>
                        </w:pPr>
                        <w:r w:rsidRPr="005C0C0D">
                          <w:rPr>
                            <w:rFonts w:ascii="Arial" w:eastAsia="Times New Roman" w:hAnsi="Arial" w:cs="Arial"/>
                            <w:color w:val="333333"/>
                            <w:sz w:val="18"/>
                            <w:szCs w:val="18"/>
                          </w:rPr>
                          <w:t xml:space="preserve">/ Dr. Bernadine </w:t>
                        </w:r>
                        <w:proofErr w:type="spellStart"/>
                        <w:r w:rsidRPr="005C0C0D">
                          <w:rPr>
                            <w:rFonts w:ascii="Arial" w:eastAsia="Times New Roman" w:hAnsi="Arial" w:cs="Arial"/>
                            <w:color w:val="333333"/>
                            <w:sz w:val="18"/>
                            <w:szCs w:val="18"/>
                          </w:rPr>
                          <w:t>Futrell</w:t>
                        </w:r>
                        <w:proofErr w:type="spellEnd"/>
                        <w:r w:rsidRPr="005C0C0D">
                          <w:rPr>
                            <w:rFonts w:ascii="Arial" w:eastAsia="Times New Roman" w:hAnsi="Arial" w:cs="Arial"/>
                            <w:color w:val="333333"/>
                            <w:sz w:val="18"/>
                            <w:szCs w:val="18"/>
                          </w:rPr>
                          <w:t xml:space="preserve"> /</w:t>
                        </w:r>
                      </w:p>
                      <w:p w:rsidR="005C0C0D" w:rsidRPr="005C0C0D" w:rsidRDefault="005C0C0D" w:rsidP="005C0C0D">
                        <w:pPr>
                          <w:spacing w:before="100" w:beforeAutospacing="1" w:after="100" w:afterAutospacing="1" w:line="270" w:lineRule="atLeast"/>
                          <w:textAlignment w:val="baseline"/>
                          <w:rPr>
                            <w:rFonts w:ascii="Arial" w:eastAsia="Times New Roman" w:hAnsi="Arial" w:cs="Arial"/>
                            <w:color w:val="333333"/>
                            <w:sz w:val="18"/>
                            <w:szCs w:val="18"/>
                          </w:rPr>
                        </w:pPr>
                        <w:r w:rsidRPr="005C0C0D">
                          <w:rPr>
                            <w:rFonts w:ascii="Arial" w:eastAsia="Times New Roman" w:hAnsi="Arial" w:cs="Arial"/>
                            <w:color w:val="333333"/>
                            <w:sz w:val="18"/>
                            <w:szCs w:val="18"/>
                          </w:rPr>
                          <w:t xml:space="preserve">Dr. Bernadine </w:t>
                        </w:r>
                        <w:proofErr w:type="spellStart"/>
                        <w:r w:rsidRPr="005C0C0D">
                          <w:rPr>
                            <w:rFonts w:ascii="Arial" w:eastAsia="Times New Roman" w:hAnsi="Arial" w:cs="Arial"/>
                            <w:color w:val="333333"/>
                            <w:sz w:val="18"/>
                            <w:szCs w:val="18"/>
                          </w:rPr>
                          <w:t>Futrell</w:t>
                        </w:r>
                        <w:proofErr w:type="spellEnd"/>
                        <w:r w:rsidRPr="005C0C0D">
                          <w:rPr>
                            <w:rFonts w:ascii="Arial" w:eastAsia="Times New Roman" w:hAnsi="Arial" w:cs="Arial"/>
                            <w:color w:val="333333"/>
                            <w:sz w:val="18"/>
                            <w:szCs w:val="18"/>
                          </w:rPr>
                          <w:br/>
                          <w:t>Director</w:t>
                        </w:r>
                        <w:r w:rsidRPr="005C0C0D">
                          <w:rPr>
                            <w:rFonts w:ascii="Arial" w:eastAsia="Times New Roman" w:hAnsi="Arial" w:cs="Arial"/>
                            <w:color w:val="333333"/>
                            <w:sz w:val="18"/>
                            <w:szCs w:val="18"/>
                          </w:rPr>
                          <w:br/>
                          <w:t>Office of Head Start</w:t>
                        </w:r>
                      </w:p>
                    </w:tc>
                  </w:tr>
                </w:tbl>
                <w:p w:rsidR="005C0C0D" w:rsidRPr="005C0C0D" w:rsidRDefault="005C0C0D" w:rsidP="005C0C0D">
                  <w:pPr>
                    <w:rPr>
                      <w:rFonts w:ascii="Arial" w:eastAsia="Times New Roman" w:hAnsi="Arial" w:cs="Arial"/>
                      <w:sz w:val="18"/>
                      <w:szCs w:val="18"/>
                    </w:rPr>
                  </w:pPr>
                </w:p>
              </w:tc>
            </w:tr>
          </w:tbl>
          <w:p w:rsidR="005C0C0D" w:rsidRPr="005C0C0D" w:rsidRDefault="005C0C0D" w:rsidP="005C0C0D">
            <w:pPr>
              <w:rPr>
                <w:rFonts w:ascii="Arial" w:eastAsia="Times New Roman" w:hAnsi="Arial" w:cs="Arial"/>
                <w:color w:val="000000"/>
                <w:sz w:val="18"/>
                <w:szCs w:val="18"/>
              </w:rPr>
            </w:pPr>
          </w:p>
        </w:tc>
      </w:tr>
    </w:tbl>
    <w:p w:rsidR="00A21447" w:rsidRDefault="00A21447"/>
    <w:sectPr w:rsidR="00A21447" w:rsidSect="00A21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A28CD"/>
    <w:multiLevelType w:val="multilevel"/>
    <w:tmpl w:val="E6F2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savePreviewPicture/>
  <w:compat>
    <w:compatSetting w:name="compatibilityMode" w:uri="http://schemas.microsoft.com/office/word" w:val="12"/>
  </w:compat>
  <w:rsids>
    <w:rsidRoot w:val="00BA38C9"/>
    <w:rsid w:val="005C0C0D"/>
    <w:rsid w:val="00A21447"/>
    <w:rsid w:val="00BA3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7F168"/>
  <w15:chartTrackingRefBased/>
  <w15:docId w15:val="{1AD9DDFF-F53E-4D1E-87D5-72040DD02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4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C0C0D"/>
    <w:rPr>
      <w:color w:val="0000FF"/>
      <w:u w:val="single"/>
    </w:rPr>
  </w:style>
  <w:style w:type="paragraph" w:styleId="NormalWeb">
    <w:name w:val="Normal (Web)"/>
    <w:basedOn w:val="Normal"/>
    <w:uiPriority w:val="99"/>
    <w:semiHidden/>
    <w:unhideWhenUsed/>
    <w:rsid w:val="005C0C0D"/>
    <w:pPr>
      <w:spacing w:before="100" w:beforeAutospacing="1" w:after="100" w:afterAutospacing="1"/>
    </w:pPr>
    <w:rPr>
      <w:rFonts w:eastAsia="Times New Roman"/>
    </w:rPr>
  </w:style>
  <w:style w:type="character" w:styleId="Strong">
    <w:name w:val="Strong"/>
    <w:basedOn w:val="DefaultParagraphFont"/>
    <w:uiPriority w:val="22"/>
    <w:qFormat/>
    <w:rsid w:val="005C0C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888737">
      <w:bodyDiv w:val="1"/>
      <w:marLeft w:val="0"/>
      <w:marRight w:val="0"/>
      <w:marTop w:val="0"/>
      <w:marBottom w:val="0"/>
      <w:divBdr>
        <w:top w:val="none" w:sz="0" w:space="0" w:color="auto"/>
        <w:left w:val="none" w:sz="0" w:space="0" w:color="auto"/>
        <w:bottom w:val="none" w:sz="0" w:space="0" w:color="auto"/>
        <w:right w:val="none" w:sz="0" w:space="0" w:color="auto"/>
      </w:divBdr>
      <w:divsChild>
        <w:div w:id="62627572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hendall.createsend1.com/t/j-l-fdhjtyd-ildkdrhidj-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ndall.createsend1.com/t/j-l-fdhjtyd-ildkdrhidj-j/" TargetMode="External"/><Relationship Id="rId11" Type="http://schemas.openxmlformats.org/officeDocument/2006/relationships/fontTable" Target="fontTable.xml"/><Relationship Id="rId5" Type="http://schemas.openxmlformats.org/officeDocument/2006/relationships/hyperlink" Target="https://hsicc.createsend1.com/t/j-e-fdhjtyd-ildkdrhidj-r/" TargetMode="External"/><Relationship Id="rId10" Type="http://schemas.openxmlformats.org/officeDocument/2006/relationships/hyperlink" Target="https://hendall.createsend1.com/t/j-l-fdhjtyd-ildkdrhidj-d/" TargetMode="External"/><Relationship Id="rId4" Type="http://schemas.openxmlformats.org/officeDocument/2006/relationships/webSettings" Target="webSettings.xml"/><Relationship Id="rId9" Type="http://schemas.openxmlformats.org/officeDocument/2006/relationships/hyperlink" Target="https://hendall.createsend1.com/t/j-l-fdhjtyd-ildkdrhid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5933</Characters>
  <Application>Microsoft Office Word</Application>
  <DocSecurity>0</DocSecurity>
  <Lines>49</Lines>
  <Paragraphs>13</Paragraphs>
  <ScaleCrop>false</ScaleCrop>
  <Company>Microsoft</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dc:creator>
  <cp:keywords/>
  <dc:description/>
  <cp:lastModifiedBy>JB</cp:lastModifiedBy>
  <cp:revision>2</cp:revision>
  <dcterms:created xsi:type="dcterms:W3CDTF">2021-07-27T18:21:00Z</dcterms:created>
  <dcterms:modified xsi:type="dcterms:W3CDTF">2021-07-27T18:21:00Z</dcterms:modified>
</cp:coreProperties>
</file>